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88094">
      <w:pPr>
        <w:rPr>
          <w:rFonts w:hint="eastAsia" w:ascii="宋体" w:hAnsi="宋体" w:cs="宋体"/>
          <w:bCs/>
          <w:color w:val="000000" w:themeColor="text1"/>
          <w:sz w:val="30"/>
          <w:highlight w:val="none"/>
          <w14:textFill>
            <w14:solidFill>
              <w14:schemeClr w14:val="tx1"/>
            </w14:solidFill>
          </w14:textFill>
        </w:rPr>
      </w:pPr>
    </w:p>
    <w:p w14:paraId="797CD1AD">
      <w:pPr>
        <w:rPr>
          <w:rFonts w:hint="eastAsia" w:ascii="宋体" w:hAnsi="宋体" w:cs="宋体"/>
          <w:bCs/>
          <w:color w:val="000000" w:themeColor="text1"/>
          <w:sz w:val="30"/>
          <w:highlight w:val="none"/>
          <w14:textFill>
            <w14:solidFill>
              <w14:schemeClr w14:val="tx1"/>
            </w14:solidFill>
          </w14:textFill>
        </w:rPr>
      </w:pPr>
    </w:p>
    <w:p w14:paraId="7A63A340">
      <w:pPr>
        <w:jc w:val="center"/>
        <w:rPr>
          <w:rFonts w:hint="eastAsia" w:ascii="宋体" w:hAnsi="宋体" w:cs="宋体"/>
          <w:bCs/>
          <w:color w:val="000000" w:themeColor="text1"/>
          <w:spacing w:val="20"/>
          <w:sz w:val="72"/>
          <w:szCs w:val="72"/>
          <w:highlight w:val="none"/>
          <w14:textFill>
            <w14:solidFill>
              <w14:schemeClr w14:val="tx1"/>
            </w14:solidFill>
          </w14:textFill>
        </w:rPr>
      </w:pPr>
    </w:p>
    <w:p w14:paraId="42D15D00">
      <w:pPr>
        <w:jc w:val="center"/>
        <w:rPr>
          <w:rFonts w:hint="eastAsia" w:ascii="宋体" w:hAnsi="宋体" w:cs="宋体"/>
          <w:bCs/>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t>无 锡 市 政 府 采 购</w:t>
      </w:r>
    </w:p>
    <w:p w14:paraId="4ED894DB">
      <w:pPr>
        <w:rPr>
          <w:rFonts w:hint="eastAsia" w:ascii="宋体" w:hAnsi="宋体" w:cs="宋体"/>
          <w:bCs/>
          <w:color w:val="000000" w:themeColor="text1"/>
          <w:sz w:val="30"/>
          <w:highlight w:val="none"/>
          <w14:textFill>
            <w14:solidFill>
              <w14:schemeClr w14:val="tx1"/>
            </w14:solidFill>
          </w14:textFill>
        </w:rPr>
      </w:pPr>
    </w:p>
    <w:p w14:paraId="23636364">
      <w:pPr>
        <w:rPr>
          <w:rFonts w:hint="eastAsia" w:ascii="宋体" w:hAnsi="宋体" w:cs="宋体"/>
          <w:bCs/>
          <w:color w:val="000000" w:themeColor="text1"/>
          <w:sz w:val="30"/>
          <w:highlight w:val="none"/>
          <w14:textFill>
            <w14:solidFill>
              <w14:schemeClr w14:val="tx1"/>
            </w14:solidFill>
          </w14:textFill>
        </w:rPr>
      </w:pPr>
    </w:p>
    <w:p w14:paraId="7E6610B5">
      <w:pPr>
        <w:rPr>
          <w:rFonts w:hint="eastAsia" w:ascii="宋体" w:hAnsi="宋体" w:cs="宋体"/>
          <w:bCs/>
          <w:color w:val="000000" w:themeColor="text1"/>
          <w:sz w:val="30"/>
          <w:highlight w:val="none"/>
          <w14:textFill>
            <w14:solidFill>
              <w14:schemeClr w14:val="tx1"/>
            </w14:solidFill>
          </w14:textFill>
        </w:rPr>
      </w:pPr>
    </w:p>
    <w:p w14:paraId="6095DBA6">
      <w:pPr>
        <w:jc w:val="center"/>
        <w:rPr>
          <w:rFonts w:hint="eastAsia"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竞争性磋商文件</w:t>
      </w:r>
    </w:p>
    <w:p w14:paraId="7950B119">
      <w:pPr>
        <w:jc w:val="left"/>
        <w:rPr>
          <w:rFonts w:hint="eastAsia" w:ascii="宋体" w:hAnsi="宋体" w:cs="宋体"/>
          <w:bCs/>
          <w:color w:val="000000" w:themeColor="text1"/>
          <w:sz w:val="30"/>
          <w:highlight w:val="none"/>
          <w14:textFill>
            <w14:solidFill>
              <w14:schemeClr w14:val="tx1"/>
            </w14:solidFill>
          </w14:textFill>
        </w:rPr>
      </w:pPr>
    </w:p>
    <w:p w14:paraId="6A011F23">
      <w:pPr>
        <w:spacing w:line="480" w:lineRule="auto"/>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  </w:t>
      </w:r>
    </w:p>
    <w:p w14:paraId="58176217">
      <w:pPr>
        <w:spacing w:line="480" w:lineRule="auto"/>
        <w:rPr>
          <w:rFonts w:hint="eastAsia" w:ascii="宋体" w:hAnsi="宋体" w:cs="宋体"/>
          <w:bCs/>
          <w:color w:val="000000" w:themeColor="text1"/>
          <w:sz w:val="30"/>
          <w:szCs w:val="30"/>
          <w:highlight w:val="none"/>
          <w14:textFill>
            <w14:solidFill>
              <w14:schemeClr w14:val="tx1"/>
            </w14:solidFill>
          </w14:textFill>
        </w:rPr>
      </w:pPr>
    </w:p>
    <w:p w14:paraId="34D0E2B9">
      <w:pPr>
        <w:spacing w:line="480" w:lineRule="auto"/>
        <w:rPr>
          <w:rFonts w:hint="eastAsia" w:ascii="宋体" w:hAnsi="宋体" w:cs="宋体"/>
          <w:bCs/>
          <w:color w:val="000000" w:themeColor="text1"/>
          <w:sz w:val="30"/>
          <w:szCs w:val="30"/>
          <w:highlight w:val="none"/>
          <w14:textFill>
            <w14:solidFill>
              <w14:schemeClr w14:val="tx1"/>
            </w14:solidFill>
          </w14:textFill>
        </w:rPr>
      </w:pPr>
    </w:p>
    <w:p w14:paraId="35AD9BAB">
      <w:pPr>
        <w:spacing w:line="480" w:lineRule="auto"/>
        <w:ind w:firstLine="602"/>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政府采购编号：</w:t>
      </w:r>
      <w:r>
        <w:rPr>
          <w:rFonts w:hint="eastAsia" w:ascii="宋体" w:hAnsi="宋体" w:cs="宋体"/>
          <w:b/>
          <w:color w:val="000000" w:themeColor="text1"/>
          <w:sz w:val="30"/>
          <w:szCs w:val="30"/>
          <w:highlight w:val="none"/>
          <w:lang w:eastAsia="zh-CN"/>
          <w14:textFill>
            <w14:solidFill>
              <w14:schemeClr w14:val="tx1"/>
            </w14:solidFill>
          </w14:textFill>
        </w:rPr>
        <w:t>JSZC-320200-SXZT-C2025-0060</w:t>
      </w:r>
    </w:p>
    <w:p w14:paraId="60A86362">
      <w:pPr>
        <w:spacing w:line="480" w:lineRule="auto"/>
        <w:ind w:firstLine="602"/>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采购项目名称：</w:t>
      </w:r>
      <w:r>
        <w:rPr>
          <w:rFonts w:hint="eastAsia" w:ascii="宋体" w:hAnsi="宋体" w:cs="宋体"/>
          <w:b/>
          <w:color w:val="000000" w:themeColor="text1"/>
          <w:sz w:val="30"/>
          <w:szCs w:val="30"/>
          <w:highlight w:val="none"/>
          <w:lang w:eastAsia="zh-CN"/>
          <w14:textFill>
            <w14:solidFill>
              <w14:schemeClr w14:val="tx1"/>
            </w14:solidFill>
          </w14:textFill>
        </w:rPr>
        <w:t>无锡市第二人民医院南北院零星修缮采购</w:t>
      </w:r>
    </w:p>
    <w:p w14:paraId="56768309">
      <w:pPr>
        <w:spacing w:line="480" w:lineRule="auto"/>
        <w:ind w:firstLine="602"/>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   购   人：无锡市第二人民医院</w:t>
      </w:r>
      <w:bookmarkStart w:id="175" w:name="_GoBack"/>
      <w:bookmarkEnd w:id="175"/>
    </w:p>
    <w:p w14:paraId="144D511B">
      <w:pPr>
        <w:spacing w:line="480" w:lineRule="auto"/>
        <w:ind w:firstLine="602"/>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采购代理机构：</w:t>
      </w:r>
      <w:r>
        <w:rPr>
          <w:rFonts w:hint="eastAsia" w:ascii="宋体" w:hAnsi="宋体" w:cs="宋体"/>
          <w:b/>
          <w:color w:val="000000" w:themeColor="text1"/>
          <w:sz w:val="30"/>
          <w:szCs w:val="30"/>
          <w:highlight w:val="none"/>
          <w:lang w:eastAsia="zh-CN"/>
          <w14:textFill>
            <w14:solidFill>
              <w14:schemeClr w14:val="tx1"/>
            </w14:solidFill>
          </w14:textFill>
        </w:rPr>
        <w:t>江苏信中天工程咨询有限公司</w:t>
      </w:r>
      <w:r>
        <w:rPr>
          <w:rFonts w:hint="eastAsia" w:ascii="宋体" w:hAnsi="宋体" w:cs="宋体"/>
          <w:b/>
          <w:color w:val="000000" w:themeColor="text1"/>
          <w:sz w:val="30"/>
          <w:szCs w:val="30"/>
          <w:highlight w:val="none"/>
          <w14:textFill>
            <w14:solidFill>
              <w14:schemeClr w14:val="tx1"/>
            </w14:solidFill>
          </w14:textFill>
        </w:rPr>
        <w:t xml:space="preserve"> </w:t>
      </w:r>
    </w:p>
    <w:p w14:paraId="61434F38">
      <w:pPr>
        <w:rPr>
          <w:rFonts w:hint="eastAsia" w:ascii="宋体" w:hAnsi="宋体" w:cs="宋体"/>
          <w:b/>
          <w:color w:val="000000" w:themeColor="text1"/>
          <w:sz w:val="32"/>
          <w:highlight w:val="none"/>
          <w14:textFill>
            <w14:solidFill>
              <w14:schemeClr w14:val="tx1"/>
            </w14:solidFill>
          </w14:textFill>
        </w:rPr>
      </w:pPr>
    </w:p>
    <w:p w14:paraId="202BEE6A">
      <w:pPr>
        <w:jc w:val="center"/>
        <w:rPr>
          <w:rFonts w:hint="eastAsia" w:ascii="宋体" w:hAnsi="宋体" w:cs="宋体"/>
          <w:b/>
          <w:color w:val="000000" w:themeColor="text1"/>
          <w:sz w:val="32"/>
          <w:highlight w:val="none"/>
          <w14:textFill>
            <w14:solidFill>
              <w14:schemeClr w14:val="tx1"/>
            </w14:solidFill>
          </w14:textFill>
        </w:rPr>
      </w:pPr>
    </w:p>
    <w:p w14:paraId="2A48260F">
      <w:pPr>
        <w:jc w:val="center"/>
        <w:rPr>
          <w:rStyle w:val="273"/>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202</w:t>
      </w:r>
      <w:r>
        <w:rPr>
          <w:rFonts w:hint="eastAsia" w:ascii="宋体" w:hAnsi="宋体" w:cs="宋体"/>
          <w:b/>
          <w:color w:val="000000" w:themeColor="text1"/>
          <w:sz w:val="44"/>
          <w:szCs w:val="44"/>
          <w:highlight w:val="none"/>
          <w:lang w:val="en-US" w:eastAsia="zh-CN"/>
          <w14:textFill>
            <w14:solidFill>
              <w14:schemeClr w14:val="tx1"/>
            </w14:solidFill>
          </w14:textFill>
        </w:rPr>
        <w:t>5</w:t>
      </w:r>
      <w:r>
        <w:rPr>
          <w:rFonts w:hint="eastAsia" w:ascii="宋体" w:hAnsi="宋体" w:cs="宋体"/>
          <w:b/>
          <w:color w:val="000000" w:themeColor="text1"/>
          <w:sz w:val="44"/>
          <w:szCs w:val="44"/>
          <w:highlight w:val="none"/>
          <w14:textFill>
            <w14:solidFill>
              <w14:schemeClr w14:val="tx1"/>
            </w14:solidFill>
          </w14:textFill>
        </w:rPr>
        <w:t>年</w:t>
      </w:r>
      <w:r>
        <w:rPr>
          <w:rFonts w:hint="eastAsia" w:ascii="宋体" w:hAnsi="宋体" w:cs="宋体"/>
          <w:b/>
          <w:color w:val="000000" w:themeColor="text1"/>
          <w:sz w:val="44"/>
          <w:szCs w:val="44"/>
          <w:highlight w:val="none"/>
          <w:lang w:val="en-US" w:eastAsia="zh-CN"/>
          <w14:textFill>
            <w14:solidFill>
              <w14:schemeClr w14:val="tx1"/>
            </w14:solidFill>
          </w14:textFill>
        </w:rPr>
        <w:t>12</w:t>
      </w:r>
      <w:r>
        <w:rPr>
          <w:rFonts w:hint="eastAsia" w:ascii="宋体" w:hAnsi="宋体" w:cs="宋体"/>
          <w:b/>
          <w:color w:val="000000" w:themeColor="text1"/>
          <w:sz w:val="44"/>
          <w:szCs w:val="44"/>
          <w:highlight w:val="none"/>
          <w14:textFill>
            <w14:solidFill>
              <w14:schemeClr w14:val="tx1"/>
            </w14:solidFill>
          </w14:textFill>
        </w:rPr>
        <w:t>月</w:t>
      </w:r>
    </w:p>
    <w:p w14:paraId="1CB7F1B0">
      <w:pPr>
        <w:jc w:val="center"/>
        <w:rPr>
          <w:rStyle w:val="273"/>
          <w:rFonts w:hint="eastAsia" w:ascii="宋体" w:hAnsi="宋体" w:cs="宋体"/>
          <w:bCs/>
          <w:color w:val="000000" w:themeColor="text1"/>
          <w:sz w:val="48"/>
          <w:highlight w:val="none"/>
          <w14:textFill>
            <w14:solidFill>
              <w14:schemeClr w14:val="tx1"/>
            </w14:solidFill>
          </w14:textFill>
        </w:rPr>
      </w:pPr>
    </w:p>
    <w:p w14:paraId="5DA368EE">
      <w:pPr>
        <w:jc w:val="center"/>
        <w:rPr>
          <w:rStyle w:val="273"/>
          <w:rFonts w:hint="eastAsia" w:ascii="宋体" w:hAnsi="宋体" w:cs="宋体"/>
          <w:bCs/>
          <w:color w:val="000000" w:themeColor="text1"/>
          <w:sz w:val="48"/>
          <w:highlight w:val="none"/>
          <w14:textFill>
            <w14:solidFill>
              <w14:schemeClr w14:val="tx1"/>
            </w14:solidFill>
          </w14:textFill>
        </w:rPr>
      </w:pPr>
    </w:p>
    <w:p w14:paraId="08129EE1">
      <w:pPr>
        <w:jc w:val="center"/>
        <w:rPr>
          <w:rStyle w:val="273"/>
          <w:rFonts w:hint="eastAsia" w:ascii="宋体" w:hAnsi="宋体" w:cs="宋体"/>
          <w:b/>
          <w:bCs/>
          <w:color w:val="000000" w:themeColor="text1"/>
          <w:sz w:val="48"/>
          <w:szCs w:val="48"/>
          <w:highlight w:val="none"/>
          <w14:textFill>
            <w14:solidFill>
              <w14:schemeClr w14:val="tx1"/>
            </w14:solidFill>
          </w14:textFill>
        </w:rPr>
      </w:pPr>
    </w:p>
    <w:p w14:paraId="1BC47572">
      <w:pPr>
        <w:jc w:val="center"/>
        <w:rPr>
          <w:rStyle w:val="273"/>
          <w:rFonts w:hint="eastAsia" w:ascii="宋体" w:hAnsi="宋体" w:cs="宋体"/>
          <w:b/>
          <w:bCs/>
          <w:color w:val="000000" w:themeColor="text1"/>
          <w:sz w:val="48"/>
          <w:szCs w:val="48"/>
          <w:highlight w:val="none"/>
          <w14:textFill>
            <w14:solidFill>
              <w14:schemeClr w14:val="tx1"/>
            </w14:solidFill>
          </w14:textFill>
        </w:rPr>
      </w:pPr>
      <w:r>
        <w:rPr>
          <w:rStyle w:val="273"/>
          <w:rFonts w:hint="eastAsia" w:ascii="宋体" w:hAnsi="宋体" w:cs="宋体"/>
          <w:b/>
          <w:color w:val="000000" w:themeColor="text1"/>
          <w:sz w:val="48"/>
          <w:highlight w:val="none"/>
          <w14:textFill>
            <w14:solidFill>
              <w14:schemeClr w14:val="tx1"/>
            </w14:solidFill>
          </w14:textFill>
        </w:rPr>
        <w:t>目   录</w:t>
      </w:r>
    </w:p>
    <w:p w14:paraId="124DA165">
      <w:pPr>
        <w:jc w:val="center"/>
        <w:rPr>
          <w:rFonts w:hint="eastAsia" w:ascii="宋体" w:hAnsi="宋体" w:cs="宋体"/>
          <w:bCs/>
          <w:color w:val="000000" w:themeColor="text1"/>
          <w:sz w:val="30"/>
          <w:highlight w:val="none"/>
          <w14:textFill>
            <w14:solidFill>
              <w14:schemeClr w14:val="tx1"/>
            </w14:solidFill>
          </w14:textFill>
        </w:rPr>
      </w:pPr>
    </w:p>
    <w:p w14:paraId="64A7B529">
      <w:pPr>
        <w:spacing w:line="720" w:lineRule="auto"/>
        <w:ind w:firstLine="630"/>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一、</w:t>
      </w:r>
      <w:bookmarkStart w:id="0" w:name="_Hlt529243434"/>
      <w:bookmarkEnd w:id="0"/>
      <w:r>
        <w:rPr>
          <w:rFonts w:hint="eastAsia" w:ascii="宋体" w:hAnsi="宋体" w:cs="宋体"/>
          <w:bCs/>
          <w:color w:val="000000" w:themeColor="text1"/>
          <w:sz w:val="30"/>
          <w:szCs w:val="30"/>
          <w:highlight w:val="none"/>
          <w14:textFill>
            <w14:solidFill>
              <w14:schemeClr w14:val="tx1"/>
            </w14:solidFill>
          </w14:textFill>
        </w:rPr>
        <w:t>磋商邀请函</w:t>
      </w:r>
    </w:p>
    <w:p w14:paraId="012E5623">
      <w:pPr>
        <w:spacing w:line="720" w:lineRule="auto"/>
        <w:ind w:firstLine="630"/>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二、</w:t>
      </w:r>
      <w:r>
        <w:rPr>
          <w:rFonts w:hint="eastAsia" w:ascii="宋体" w:hAnsi="宋体" w:cs="宋体"/>
          <w:bCs/>
          <w:color w:val="000000" w:themeColor="text1"/>
          <w:sz w:val="30"/>
          <w:szCs w:val="30"/>
          <w:highlight w:val="none"/>
          <w14:textFill>
            <w14:solidFill>
              <w14:schemeClr w14:val="tx1"/>
            </w14:solidFill>
          </w14:textFill>
        </w:rPr>
        <w:t>供应商须知</w:t>
      </w:r>
    </w:p>
    <w:p w14:paraId="6BECC248">
      <w:pPr>
        <w:spacing w:line="720" w:lineRule="auto"/>
        <w:ind w:firstLine="630"/>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三、</w:t>
      </w:r>
      <w:r>
        <w:rPr>
          <w:rFonts w:hint="eastAsia" w:ascii="宋体" w:hAnsi="宋体" w:cs="宋体"/>
          <w:bCs/>
          <w:color w:val="000000" w:themeColor="text1"/>
          <w:sz w:val="30"/>
          <w:szCs w:val="30"/>
          <w:highlight w:val="none"/>
          <w14:textFill>
            <w14:solidFill>
              <w14:schemeClr w14:val="tx1"/>
            </w14:solidFill>
          </w14:textFill>
        </w:rPr>
        <w:t>项目需求及有关说明</w:t>
      </w:r>
    </w:p>
    <w:p w14:paraId="533F1969">
      <w:pPr>
        <w:spacing w:line="720" w:lineRule="auto"/>
        <w:ind w:firstLine="630"/>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四、</w:t>
      </w:r>
      <w:r>
        <w:rPr>
          <w:rFonts w:hint="eastAsia" w:ascii="宋体" w:hAnsi="宋体" w:cs="宋体"/>
          <w:bCs/>
          <w:color w:val="000000" w:themeColor="text1"/>
          <w:sz w:val="30"/>
          <w:szCs w:val="30"/>
          <w:highlight w:val="none"/>
          <w14:textFill>
            <w14:solidFill>
              <w14:schemeClr w14:val="tx1"/>
            </w14:solidFill>
          </w14:textFill>
        </w:rPr>
        <w:t xml:space="preserve"> 合同书（格式文本）</w:t>
      </w:r>
    </w:p>
    <w:p w14:paraId="43468007">
      <w:pPr>
        <w:spacing w:line="720" w:lineRule="auto"/>
        <w:ind w:firstLine="630"/>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五、</w:t>
      </w:r>
      <w:r>
        <w:rPr>
          <w:rFonts w:hint="eastAsia" w:ascii="宋体" w:hAnsi="宋体" w:cs="宋体"/>
          <w:bCs/>
          <w:color w:val="000000" w:themeColor="text1"/>
          <w:sz w:val="30"/>
          <w:szCs w:val="30"/>
          <w:highlight w:val="none"/>
          <w14:textFill>
            <w14:solidFill>
              <w14:schemeClr w14:val="tx1"/>
            </w14:solidFill>
          </w14:textFill>
        </w:rPr>
        <w:t xml:space="preserve"> 附件（响应文件格式）</w:t>
      </w:r>
    </w:p>
    <w:p w14:paraId="179A06A9">
      <w:pPr>
        <w:widowControl/>
        <w:spacing w:line="360" w:lineRule="auto"/>
        <w:rPr>
          <w:rFonts w:hint="eastAsia" w:ascii="宋体" w:hAnsi="宋体" w:cs="宋体"/>
          <w:b/>
          <w:color w:val="000000" w:themeColor="text1"/>
          <w:sz w:val="24"/>
          <w:highlight w:val="none"/>
          <w14:textFill>
            <w14:solidFill>
              <w14:schemeClr w14:val="tx1"/>
            </w14:solidFill>
          </w14:textFill>
        </w:rPr>
      </w:pPr>
    </w:p>
    <w:p w14:paraId="3126B71F">
      <w:pPr>
        <w:widowControl/>
        <w:spacing w:line="360" w:lineRule="auto"/>
        <w:rPr>
          <w:rFonts w:hint="eastAsia" w:ascii="宋体" w:hAnsi="宋体" w:cs="宋体"/>
          <w:b/>
          <w:color w:val="000000" w:themeColor="text1"/>
          <w:sz w:val="24"/>
          <w:highlight w:val="none"/>
          <w14:textFill>
            <w14:solidFill>
              <w14:schemeClr w14:val="tx1"/>
            </w14:solidFill>
          </w14:textFill>
        </w:rPr>
      </w:pPr>
    </w:p>
    <w:p w14:paraId="34EFD026">
      <w:pPr>
        <w:widowControl/>
        <w:spacing w:line="360" w:lineRule="auto"/>
        <w:rPr>
          <w:rFonts w:hint="eastAsia" w:ascii="宋体" w:hAnsi="宋体" w:cs="宋体"/>
          <w:b/>
          <w:color w:val="000000" w:themeColor="text1"/>
          <w:sz w:val="24"/>
          <w:highlight w:val="none"/>
          <w14:textFill>
            <w14:solidFill>
              <w14:schemeClr w14:val="tx1"/>
            </w14:solidFill>
          </w14:textFill>
        </w:rPr>
      </w:pPr>
    </w:p>
    <w:p w14:paraId="769733BA">
      <w:pPr>
        <w:widowControl/>
        <w:spacing w:line="360" w:lineRule="auto"/>
        <w:rPr>
          <w:rFonts w:hint="eastAsia" w:ascii="宋体" w:hAnsi="宋体" w:cs="宋体"/>
          <w:b/>
          <w:color w:val="000000" w:themeColor="text1"/>
          <w:sz w:val="24"/>
          <w:highlight w:val="none"/>
          <w14:textFill>
            <w14:solidFill>
              <w14:schemeClr w14:val="tx1"/>
            </w14:solidFill>
          </w14:textFill>
        </w:rPr>
      </w:pPr>
    </w:p>
    <w:p w14:paraId="3F8D65FF">
      <w:pPr>
        <w:widowControl/>
        <w:spacing w:line="360" w:lineRule="auto"/>
        <w:rPr>
          <w:rFonts w:hint="eastAsia" w:ascii="宋体" w:hAnsi="宋体" w:cs="宋体"/>
          <w:b/>
          <w:color w:val="000000" w:themeColor="text1"/>
          <w:sz w:val="24"/>
          <w:highlight w:val="none"/>
          <w14:textFill>
            <w14:solidFill>
              <w14:schemeClr w14:val="tx1"/>
            </w14:solidFill>
          </w14:textFill>
        </w:rPr>
      </w:pPr>
    </w:p>
    <w:p w14:paraId="5421E10F">
      <w:pPr>
        <w:widowControl/>
        <w:spacing w:before="470"/>
        <w:rPr>
          <w:rFonts w:hint="eastAsia" w:ascii="宋体" w:hAnsi="宋体" w:cs="宋体"/>
          <w:b/>
          <w:color w:val="000000" w:themeColor="text1"/>
          <w:sz w:val="24"/>
          <w:highlight w:val="none"/>
          <w14:textFill>
            <w14:solidFill>
              <w14:schemeClr w14:val="tx1"/>
            </w14:solidFill>
          </w14:textFill>
        </w:rPr>
      </w:pPr>
    </w:p>
    <w:p w14:paraId="06310AA6">
      <w:pPr>
        <w:spacing w:line="360" w:lineRule="auto"/>
        <w:jc w:val="center"/>
        <w:outlineLvl w:val="0"/>
        <w:rPr>
          <w:rFonts w:hint="eastAsia" w:ascii="宋体" w:hAnsi="宋体" w:cs="宋体"/>
          <w:b/>
          <w:bCs/>
          <w:color w:val="000000" w:themeColor="text1"/>
          <w:sz w:val="32"/>
          <w:szCs w:val="32"/>
          <w:highlight w:val="none"/>
          <w14:textFill>
            <w14:solidFill>
              <w14:schemeClr w14:val="tx1"/>
            </w14:solidFill>
          </w14:textFill>
        </w:rPr>
        <w:sectPr>
          <w:footerReference r:id="rId4" w:type="first"/>
          <w:footerReference r:id="rId3" w:type="default"/>
          <w:pgSz w:w="11906" w:h="16838"/>
          <w:pgMar w:top="1418" w:right="1554" w:bottom="1418" w:left="1531" w:header="851" w:footer="992" w:gutter="0"/>
          <w:pgNumType w:start="1"/>
          <w:cols w:space="720" w:num="1"/>
          <w:titlePg/>
          <w:docGrid w:linePitch="360" w:charSpace="0"/>
        </w:sectPr>
      </w:pPr>
    </w:p>
    <w:p w14:paraId="188405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一、</w:t>
      </w:r>
      <w:r>
        <w:rPr>
          <w:rFonts w:ascii="宋体" w:hAnsi="宋体" w:eastAsia="宋体" w:cs="宋体"/>
          <w:b/>
          <w:color w:val="000000" w:themeColor="text1"/>
          <w:sz w:val="32"/>
          <w:highlight w:val="none"/>
          <w14:textFill>
            <w14:solidFill>
              <w14:schemeClr w14:val="tx1"/>
            </w14:solidFill>
          </w14:textFill>
        </w:rPr>
        <w:t>磋商邀请函</w:t>
      </w:r>
    </w:p>
    <w:p w14:paraId="1F348BF2">
      <w:pP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color w:val="000000" w:themeColor="text1"/>
          <w:sz w:val="24"/>
          <w:szCs w:val="24"/>
          <w:highlight w:val="none"/>
          <w:lang w:eastAsia="zh-CN"/>
          <w14:textFill>
            <w14:solidFill>
              <w14:schemeClr w14:val="tx1"/>
            </w14:solidFill>
          </w14:textFill>
        </w:rPr>
        <w:t>无锡市第二人民医院</w:t>
      </w:r>
      <w:r>
        <w:rPr>
          <w:rFonts w:hint="eastAsia" w:ascii="宋体" w:hAnsi="宋体"/>
          <w:color w:val="000000" w:themeColor="text1"/>
          <w:sz w:val="24"/>
          <w:szCs w:val="24"/>
          <w:highlight w:val="none"/>
          <w14:textFill>
            <w14:solidFill>
              <w14:schemeClr w14:val="tx1"/>
            </w14:solidFill>
          </w14:textFill>
        </w:rPr>
        <w:t>的委托，江苏信中天工程咨询有限公司就</w:t>
      </w:r>
      <w:r>
        <w:rPr>
          <w:rFonts w:hint="eastAsia" w:ascii="宋体" w:hAnsi="宋体"/>
          <w:color w:val="000000" w:themeColor="text1"/>
          <w:sz w:val="24"/>
          <w:szCs w:val="24"/>
          <w:highlight w:val="none"/>
          <w:lang w:eastAsia="zh-CN"/>
          <w14:textFill>
            <w14:solidFill>
              <w14:schemeClr w14:val="tx1"/>
            </w14:solidFill>
          </w14:textFill>
        </w:rPr>
        <w:t>无锡市第二人民医院南北院零星修缮采购</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JSZC-320200-SXZT-C2025-0060</w:t>
      </w:r>
      <w:r>
        <w:rPr>
          <w:rFonts w:hint="eastAsia" w:ascii="宋体" w:hAnsi="宋体"/>
          <w:color w:val="000000" w:themeColor="text1"/>
          <w:sz w:val="24"/>
          <w:szCs w:val="24"/>
          <w:highlight w:val="none"/>
          <w14:textFill>
            <w14:solidFill>
              <w14:schemeClr w14:val="tx1"/>
            </w14:solidFill>
          </w14:textFill>
        </w:rPr>
        <w:t>）进行竞争性磋商采购，欢迎符合条件的供应商投标。</w:t>
      </w:r>
    </w:p>
    <w:p w14:paraId="3B533D8B">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4295123C">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无锡市第二人民医院南北院零星修缮采购</w:t>
      </w:r>
      <w:r>
        <w:rPr>
          <w:rFonts w:hint="eastAsia" w:ascii="宋体" w:hAnsi="宋体"/>
          <w:color w:val="000000" w:themeColor="text1"/>
          <w:sz w:val="24"/>
          <w:szCs w:val="24"/>
          <w:highlight w:val="none"/>
          <w14:textFill>
            <w14:solidFill>
              <w14:schemeClr w14:val="tx1"/>
            </w14:solidFill>
          </w14:textFill>
        </w:rPr>
        <w:t>的潜在供应商应在“无锡政府采购网”“江苏政府采购网”自行浏览磋商文件，如有投标意向须在本磋商文件有效获取期内通过登录</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下载的方式依法获取磋商文件，并于</w:t>
      </w:r>
      <w:r>
        <w:rPr>
          <w:rFonts w:hint="eastAsia" w:ascii="宋体" w:hAnsi="宋体"/>
          <w:color w:val="000000" w:themeColor="text1"/>
          <w:sz w:val="24"/>
          <w:szCs w:val="24"/>
          <w:highlight w:val="none"/>
          <w:lang w:eastAsia="zh-CN"/>
          <w14:textFill>
            <w14:solidFill>
              <w14:schemeClr w14:val="tx1"/>
            </w14:solidFill>
          </w14:textFill>
        </w:rPr>
        <w:t>2025年12月23日</w:t>
      </w:r>
      <w:r>
        <w:rPr>
          <w:rFonts w:hint="eastAsia" w:ascii="宋体" w:hAnsi="宋体"/>
          <w:color w:val="000000" w:themeColor="text1"/>
          <w:sz w:val="24"/>
          <w:szCs w:val="24"/>
          <w:highlight w:val="none"/>
          <w:lang w:val="en-US" w:eastAsia="zh-CN"/>
          <w14:textFill>
            <w14:solidFill>
              <w14:schemeClr w14:val="tx1"/>
            </w14:solidFill>
          </w14:textFill>
        </w:rPr>
        <w:t>14</w:t>
      </w:r>
      <w:r>
        <w:rPr>
          <w:rFonts w:ascii="宋体" w:hAnsi="宋体"/>
          <w:color w:val="000000" w:themeColor="text1"/>
          <w:sz w:val="24"/>
          <w:szCs w:val="24"/>
          <w:highlight w:val="none"/>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00</w:t>
      </w:r>
      <w:r>
        <w:rPr>
          <w:rFonts w:ascii="宋体" w:hAnsi="宋体"/>
          <w:color w:val="000000" w:themeColor="text1"/>
          <w:sz w:val="24"/>
          <w:szCs w:val="24"/>
          <w:highlight w:val="none"/>
          <w14:textFill>
            <w14:solidFill>
              <w14:schemeClr w14:val="tx1"/>
            </w14:solidFill>
          </w14:textFill>
        </w:rPr>
        <w:t>分</w:t>
      </w:r>
      <w:r>
        <w:rPr>
          <w:rFonts w:hint="eastAsia" w:ascii="宋体" w:hAnsi="宋体"/>
          <w:bCs/>
          <w:color w:val="000000" w:themeColor="text1"/>
          <w:sz w:val="24"/>
          <w:szCs w:val="24"/>
          <w:highlight w:val="none"/>
          <w14:textFill>
            <w14:solidFill>
              <w14:schemeClr w14:val="tx1"/>
            </w14:solidFill>
          </w14:textFill>
        </w:rPr>
        <w:t>（北京时间）前递交响应文件</w:t>
      </w:r>
      <w:r>
        <w:rPr>
          <w:rFonts w:hint="eastAsia" w:ascii="宋体" w:hAnsi="宋体"/>
          <w:color w:val="000000" w:themeColor="text1"/>
          <w:sz w:val="24"/>
          <w:szCs w:val="24"/>
          <w:highlight w:val="none"/>
          <w14:textFill>
            <w14:solidFill>
              <w14:schemeClr w14:val="tx1"/>
            </w14:solidFill>
          </w14:textFill>
        </w:rPr>
        <w:t>。</w:t>
      </w:r>
    </w:p>
    <w:p w14:paraId="114C3BE4">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1" w:name="_Toc28359002"/>
      <w:bookmarkStart w:id="2" w:name="_Toc28359079"/>
      <w:bookmarkStart w:id="3" w:name="_Toc38985263"/>
      <w:bookmarkStart w:id="4" w:name="_Toc35393790"/>
      <w:bookmarkStart w:id="5" w:name="_Toc35393621"/>
      <w:bookmarkStart w:id="6" w:name="_Hlk24379207"/>
      <w:r>
        <w:rPr>
          <w:rFonts w:hint="eastAsia"/>
          <w:color w:val="000000" w:themeColor="text1"/>
          <w:sz w:val="30"/>
          <w:szCs w:val="30"/>
          <w:highlight w:val="none"/>
          <w14:textFill>
            <w14:solidFill>
              <w14:schemeClr w14:val="tx1"/>
            </w14:solidFill>
          </w14:textFill>
        </w:rPr>
        <w:t>一、项目基本情况</w:t>
      </w:r>
      <w:bookmarkEnd w:id="1"/>
      <w:bookmarkEnd w:id="2"/>
      <w:bookmarkEnd w:id="3"/>
      <w:bookmarkEnd w:id="4"/>
      <w:bookmarkEnd w:id="5"/>
    </w:p>
    <w:p w14:paraId="01BC746F">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1.项目编号：</w:t>
      </w:r>
      <w:r>
        <w:rPr>
          <w:rFonts w:hint="eastAsia" w:ascii="宋体" w:hAnsi="宋体"/>
          <w:color w:val="000000" w:themeColor="text1"/>
          <w:sz w:val="24"/>
          <w:szCs w:val="24"/>
          <w:highlight w:val="none"/>
          <w:lang w:eastAsia="zh-CN"/>
          <w14:textFill>
            <w14:solidFill>
              <w14:schemeClr w14:val="tx1"/>
            </w14:solidFill>
          </w14:textFill>
        </w:rPr>
        <w:t>JSZC-320200-SXZT-C2025-0060</w:t>
      </w:r>
    </w:p>
    <w:p w14:paraId="43A8E929">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2.项目名称：</w:t>
      </w:r>
      <w:r>
        <w:rPr>
          <w:rFonts w:hint="eastAsia" w:ascii="宋体" w:hAnsi="宋体"/>
          <w:color w:val="000000" w:themeColor="text1"/>
          <w:sz w:val="24"/>
          <w:szCs w:val="24"/>
          <w:highlight w:val="none"/>
          <w:lang w:eastAsia="zh-CN"/>
          <w14:textFill>
            <w14:solidFill>
              <w14:schemeClr w14:val="tx1"/>
            </w14:solidFill>
          </w14:textFill>
        </w:rPr>
        <w:t>无锡市第二人民医院南北院零星修缮采购</w:t>
      </w:r>
    </w:p>
    <w:bookmarkEnd w:id="6"/>
    <w:p w14:paraId="635D653C">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3.项目预算金额：227万元：</w:t>
      </w:r>
      <w:r>
        <w:rPr>
          <w:rFonts w:hint="eastAsia" w:ascii="宋体" w:hAnsi="宋体"/>
          <w:color w:val="000000" w:themeColor="text1"/>
          <w:sz w:val="24"/>
          <w:szCs w:val="24"/>
          <w:highlight w:val="none"/>
          <w:lang w:eastAsia="zh-CN"/>
          <w14:textFill>
            <w14:solidFill>
              <w14:schemeClr w14:val="tx1"/>
            </w14:solidFill>
          </w14:textFill>
        </w:rPr>
        <w:t>本项目分采购包</w:t>
      </w:r>
      <w:r>
        <w:rPr>
          <w:rFonts w:hint="eastAsia" w:ascii="宋体" w:hAnsi="宋体"/>
          <w:color w:val="000000" w:themeColor="text1"/>
          <w:sz w:val="24"/>
          <w:szCs w:val="24"/>
          <w:highlight w:val="none"/>
          <w:lang w:val="en-US" w:eastAsia="zh-CN"/>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采购包</w:t>
      </w:r>
      <w:r>
        <w:rPr>
          <w:rFonts w:hint="eastAsia" w:ascii="宋体" w:hAnsi="宋体"/>
          <w:color w:val="000000" w:themeColor="text1"/>
          <w:sz w:val="24"/>
          <w:szCs w:val="24"/>
          <w:highlight w:val="none"/>
          <w:lang w:val="en-US" w:eastAsia="zh-CN"/>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南院一年115万元，</w:t>
      </w:r>
      <w:r>
        <w:rPr>
          <w:rFonts w:hint="eastAsia" w:ascii="宋体" w:hAnsi="宋体"/>
          <w:color w:val="000000" w:themeColor="text1"/>
          <w:sz w:val="24"/>
          <w:szCs w:val="24"/>
          <w:highlight w:val="none"/>
          <w:lang w:eastAsia="zh-CN"/>
          <w14:textFill>
            <w14:solidFill>
              <w14:schemeClr w14:val="tx1"/>
            </w14:solidFill>
          </w14:textFill>
        </w:rPr>
        <w:t>采购包</w:t>
      </w: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北院一年112万元</w:t>
      </w:r>
    </w:p>
    <w:p w14:paraId="2EBCD9A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4.项目</w:t>
      </w:r>
      <w:r>
        <w:rPr>
          <w:rFonts w:hint="eastAsia" w:ascii="宋体" w:hAnsi="宋体"/>
          <w:color w:val="000000" w:themeColor="text1"/>
          <w:sz w:val="24"/>
          <w:szCs w:val="24"/>
          <w:highlight w:val="none"/>
          <w:lang w:val="en-US" w:eastAsia="zh-CN"/>
          <w14:textFill>
            <w14:solidFill>
              <w14:schemeClr w14:val="tx1"/>
            </w14:solidFill>
          </w14:textFill>
        </w:rPr>
        <w:t>限价</w:t>
      </w:r>
      <w:r>
        <w:rPr>
          <w:rFonts w:hint="eastAsia" w:ascii="宋体" w:hAnsi="宋体"/>
          <w:color w:val="000000" w:themeColor="text1"/>
          <w:sz w:val="24"/>
          <w:szCs w:val="24"/>
          <w:highlight w:val="none"/>
          <w14:textFill>
            <w14:solidFill>
              <w14:schemeClr w14:val="tx1"/>
            </w14:solidFill>
          </w14:textFill>
        </w:rPr>
        <w:t>：优惠率≥</w:t>
      </w:r>
      <w:r>
        <w:rPr>
          <w:rFonts w:hint="eastAsia" w:ascii="宋体" w:hAnsi="宋体"/>
          <w:color w:val="000000" w:themeColor="text1"/>
          <w:sz w:val="24"/>
          <w:szCs w:val="24"/>
          <w:highlight w:val="none"/>
          <w:lang w:val="en-US" w:eastAsia="zh-CN"/>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假设商品单价为100元，优惠率为5%</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则结算时单价为(1-5%) *100=95元。注:本项目投标报价为优惠率报价。</w:t>
      </w:r>
    </w:p>
    <w:p w14:paraId="1C20F022">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5.采购方式：竞争性磋商</w:t>
      </w:r>
    </w:p>
    <w:p w14:paraId="0E71AE98">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6.项目概述：主要是对医院</w:t>
      </w:r>
      <w:r>
        <w:rPr>
          <w:rFonts w:hint="eastAsia" w:ascii="宋体" w:hAnsi="宋体"/>
          <w:color w:val="000000" w:themeColor="text1"/>
          <w:sz w:val="24"/>
          <w:szCs w:val="24"/>
          <w:highlight w:val="none"/>
          <w:lang w:eastAsia="zh-CN"/>
          <w14:textFill>
            <w14:solidFill>
              <w14:schemeClr w14:val="tx1"/>
            </w14:solidFill>
          </w14:textFill>
        </w:rPr>
        <w:t>单项工程预算金额低于</w:t>
      </w:r>
      <w:r>
        <w:rPr>
          <w:rFonts w:hint="eastAsia" w:ascii="宋体" w:hAnsi="宋体"/>
          <w:color w:val="000000" w:themeColor="text1"/>
          <w:sz w:val="24"/>
          <w:szCs w:val="24"/>
          <w:highlight w:val="none"/>
          <w:lang w:val="en-US" w:eastAsia="zh-CN"/>
          <w14:textFill>
            <w14:solidFill>
              <w14:schemeClr w14:val="tx1"/>
            </w14:solidFill>
          </w14:textFill>
        </w:rPr>
        <w:t>10万元的</w:t>
      </w:r>
      <w:r>
        <w:rPr>
          <w:rFonts w:hint="eastAsia" w:ascii="宋体" w:hAnsi="宋体"/>
          <w:color w:val="000000" w:themeColor="text1"/>
          <w:sz w:val="24"/>
          <w:szCs w:val="24"/>
          <w:highlight w:val="none"/>
          <w14:textFill>
            <w14:solidFill>
              <w14:schemeClr w14:val="tx1"/>
            </w14:solidFill>
          </w14:textFill>
        </w:rPr>
        <w:t>现有建筑及其附属设施的应需性、应急性修缮改造。如门、窗、各类家具、内墙、外墙、天棚吊顶、屋面防水、室内外地面、车棚、围墙等院内各类零星修缮及布局调整零星改造</w:t>
      </w:r>
      <w:r>
        <w:rPr>
          <w:rFonts w:hint="eastAsia" w:ascii="宋体" w:hAnsi="宋体"/>
          <w:color w:val="000000" w:themeColor="text1"/>
          <w:sz w:val="24"/>
          <w:highlight w:val="none"/>
          <w14:textFill>
            <w14:solidFill>
              <w14:schemeClr w14:val="tx1"/>
            </w14:solidFill>
          </w14:textFill>
        </w:rPr>
        <w:t>。</w:t>
      </w:r>
    </w:p>
    <w:p w14:paraId="5F482B4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内容：</w:t>
      </w:r>
      <w:r>
        <w:rPr>
          <w:rFonts w:hint="default" w:ascii="宋体" w:hAnsi="宋体"/>
          <w:color w:val="000000" w:themeColor="text1"/>
          <w:sz w:val="24"/>
          <w:szCs w:val="24"/>
          <w:highlight w:val="none"/>
          <w14:textFill>
            <w14:solidFill>
              <w14:schemeClr w14:val="tx1"/>
            </w14:solidFill>
          </w14:textFill>
        </w:rPr>
        <w:t>主要是对医院</w:t>
      </w:r>
      <w:r>
        <w:rPr>
          <w:rFonts w:hint="default" w:ascii="宋体" w:hAnsi="宋体"/>
          <w:color w:val="000000" w:themeColor="text1"/>
          <w:sz w:val="24"/>
          <w:szCs w:val="24"/>
          <w:highlight w:val="none"/>
          <w:lang w:eastAsia="zh-CN"/>
          <w14:textFill>
            <w14:solidFill>
              <w14:schemeClr w14:val="tx1"/>
            </w14:solidFill>
          </w14:textFill>
        </w:rPr>
        <w:t>单项工程预算金额低于</w:t>
      </w:r>
      <w:r>
        <w:rPr>
          <w:rFonts w:hint="default" w:ascii="宋体" w:hAnsi="宋体"/>
          <w:color w:val="000000" w:themeColor="text1"/>
          <w:sz w:val="24"/>
          <w:szCs w:val="24"/>
          <w:highlight w:val="none"/>
          <w:lang w:val="en-US" w:eastAsia="zh-CN"/>
          <w14:textFill>
            <w14:solidFill>
              <w14:schemeClr w14:val="tx1"/>
            </w14:solidFill>
          </w14:textFill>
        </w:rPr>
        <w:t>10万元的</w:t>
      </w:r>
      <w:r>
        <w:rPr>
          <w:rFonts w:hint="default" w:ascii="宋体" w:hAnsi="宋体"/>
          <w:color w:val="000000" w:themeColor="text1"/>
          <w:sz w:val="24"/>
          <w:szCs w:val="24"/>
          <w:highlight w:val="none"/>
          <w14:textFill>
            <w14:solidFill>
              <w14:schemeClr w14:val="tx1"/>
            </w14:solidFill>
          </w14:textFill>
        </w:rPr>
        <w:t>现有建筑及其附属设施的应需性、应急性修缮改造。如门、窗、各类家具、内墙、外墙、天棚吊顶、屋面防水、室内外地面、车棚、围墙等院内各类零星修缮及布局调整零星改造。本次采购按服务区域划分，分为</w:t>
      </w:r>
      <w:r>
        <w:rPr>
          <w:rFonts w:hint="default" w:ascii="宋体" w:hAnsi="宋体"/>
          <w:color w:val="000000" w:themeColor="text1"/>
          <w:sz w:val="24"/>
          <w:szCs w:val="24"/>
          <w:highlight w:val="none"/>
          <w:lang w:eastAsia="zh-CN"/>
          <w14:textFill>
            <w14:solidFill>
              <w14:schemeClr w14:val="tx1"/>
            </w14:solidFill>
          </w14:textFill>
        </w:rPr>
        <w:t>南、</w:t>
      </w:r>
      <w:r>
        <w:rPr>
          <w:rFonts w:hint="default" w:ascii="宋体" w:hAnsi="宋体"/>
          <w:color w:val="000000" w:themeColor="text1"/>
          <w:sz w:val="24"/>
          <w:szCs w:val="24"/>
          <w:highlight w:val="none"/>
          <w14:textFill>
            <w14:solidFill>
              <w14:schemeClr w14:val="tx1"/>
            </w14:solidFill>
          </w14:textFill>
        </w:rPr>
        <w:t>北</w:t>
      </w:r>
      <w:r>
        <w:rPr>
          <w:rFonts w:hint="default" w:ascii="宋体" w:hAnsi="宋体"/>
          <w:color w:val="000000" w:themeColor="text1"/>
          <w:sz w:val="24"/>
          <w:szCs w:val="24"/>
          <w:highlight w:val="none"/>
          <w:lang w:eastAsia="zh-CN"/>
          <w14:textFill>
            <w14:solidFill>
              <w14:schemeClr w14:val="tx1"/>
            </w14:solidFill>
          </w14:textFill>
        </w:rPr>
        <w:t>两个</w:t>
      </w:r>
      <w:r>
        <w:rPr>
          <w:rFonts w:hint="default" w:ascii="宋体" w:hAnsi="宋体"/>
          <w:color w:val="000000" w:themeColor="text1"/>
          <w:sz w:val="24"/>
          <w:szCs w:val="24"/>
          <w:highlight w:val="none"/>
          <w14:textFill>
            <w14:solidFill>
              <w14:schemeClr w14:val="tx1"/>
            </w14:solidFill>
          </w14:textFill>
        </w:rPr>
        <w:t>院</w:t>
      </w:r>
      <w:r>
        <w:rPr>
          <w:rFonts w:hint="default" w:ascii="宋体" w:hAnsi="宋体"/>
          <w:color w:val="000000" w:themeColor="text1"/>
          <w:sz w:val="24"/>
          <w:szCs w:val="24"/>
          <w:highlight w:val="none"/>
          <w:lang w:eastAsia="zh-CN"/>
          <w14:textFill>
            <w14:solidFill>
              <w14:schemeClr w14:val="tx1"/>
            </w14:solidFill>
          </w14:textFill>
        </w:rPr>
        <w:t>区</w:t>
      </w:r>
      <w:r>
        <w:rPr>
          <w:rFonts w:hint="default" w:ascii="宋体" w:hAnsi="宋体"/>
          <w:color w:val="000000" w:themeColor="text1"/>
          <w:sz w:val="24"/>
          <w:szCs w:val="24"/>
          <w:highlight w:val="none"/>
          <w14:textFill>
            <w14:solidFill>
              <w14:schemeClr w14:val="tx1"/>
            </w14:solidFill>
          </w14:textFill>
        </w:rPr>
        <w:t>，南院与北院各一家服务单位</w:t>
      </w:r>
      <w:r>
        <w:rPr>
          <w:rFonts w:hint="eastAsia" w:ascii="宋体" w:hAnsi="宋体"/>
          <w:color w:val="000000" w:themeColor="text1"/>
          <w:sz w:val="24"/>
          <w:szCs w:val="24"/>
          <w:highlight w:val="none"/>
          <w14:textFill>
            <w14:solidFill>
              <w14:schemeClr w14:val="tx1"/>
            </w14:solidFill>
          </w14:textFill>
        </w:rPr>
        <w:t>。</w:t>
      </w:r>
    </w:p>
    <w:p w14:paraId="0EAE0555">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质量要求：</w:t>
      </w:r>
      <w:r>
        <w:rPr>
          <w:rFonts w:hint="eastAsia" w:ascii="宋体" w:hAnsi="宋体"/>
          <w:color w:val="000000" w:themeColor="text1"/>
          <w:sz w:val="24"/>
          <w:highlight w:val="none"/>
          <w:lang w:eastAsia="zh-CN"/>
          <w14:textFill>
            <w14:solidFill>
              <w14:schemeClr w14:val="tx1"/>
            </w14:solidFill>
          </w14:textFill>
        </w:rPr>
        <w:t>一次性验收</w:t>
      </w:r>
      <w:r>
        <w:rPr>
          <w:rFonts w:hint="eastAsia" w:ascii="宋体" w:hAnsi="宋体"/>
          <w:color w:val="000000" w:themeColor="text1"/>
          <w:sz w:val="24"/>
          <w:highlight w:val="none"/>
          <w14:textFill>
            <w14:solidFill>
              <w14:schemeClr w14:val="tx1"/>
            </w14:solidFill>
          </w14:textFill>
        </w:rPr>
        <w:t>合格并满足采购人要求。</w:t>
      </w:r>
    </w:p>
    <w:p w14:paraId="10E3EA29">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9.质保期：2年</w:t>
      </w:r>
      <w:r>
        <w:rPr>
          <w:rFonts w:hint="eastAsia" w:ascii="宋体" w:hAnsi="宋体"/>
          <w:color w:val="000000" w:themeColor="text1"/>
          <w:sz w:val="24"/>
          <w:highlight w:val="none"/>
          <w:lang w:eastAsia="zh-CN"/>
          <w14:textFill>
            <w14:solidFill>
              <w14:schemeClr w14:val="tx1"/>
            </w14:solidFill>
          </w14:textFill>
        </w:rPr>
        <w:t>（防水≥</w:t>
      </w:r>
      <w:r>
        <w:rPr>
          <w:rFonts w:hint="eastAsia" w:ascii="宋体" w:hAnsi="宋体"/>
          <w:color w:val="000000" w:themeColor="text1"/>
          <w:sz w:val="24"/>
          <w:highlight w:val="none"/>
          <w:lang w:val="en-US" w:eastAsia="zh-CN"/>
          <w14:textFill>
            <w14:solidFill>
              <w14:schemeClr w14:val="tx1"/>
            </w14:solidFill>
          </w14:textFill>
        </w:rPr>
        <w:t>5年</w:t>
      </w:r>
      <w:r>
        <w:rPr>
          <w:rFonts w:hint="eastAsia" w:ascii="宋体" w:hAnsi="宋体"/>
          <w:color w:val="000000" w:themeColor="text1"/>
          <w:sz w:val="24"/>
          <w:highlight w:val="none"/>
          <w:lang w:eastAsia="zh-CN"/>
          <w14:textFill>
            <w14:solidFill>
              <w14:schemeClr w14:val="tx1"/>
            </w14:solidFill>
          </w14:textFill>
        </w:rPr>
        <w:t>）</w:t>
      </w:r>
    </w:p>
    <w:p w14:paraId="0DD74DE5">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10.合同履行期限：</w:t>
      </w:r>
      <w:r>
        <w:rPr>
          <w:rFonts w:hint="eastAsia" w:ascii="宋体" w:hAnsi="宋体"/>
          <w:color w:val="000000" w:themeColor="text1"/>
          <w:sz w:val="24"/>
          <w:szCs w:val="24"/>
          <w:highlight w:val="none"/>
          <w:lang w:eastAsia="zh-CN"/>
          <w14:textFill>
            <w14:solidFill>
              <w14:schemeClr w14:val="tx1"/>
            </w14:solidFill>
          </w14:textFill>
        </w:rPr>
        <w:t>南院（</w:t>
      </w:r>
      <w:r>
        <w:rPr>
          <w:rFonts w:hint="eastAsia" w:ascii="宋体" w:hAnsi="宋体"/>
          <w:color w:val="000000" w:themeColor="text1"/>
          <w:sz w:val="24"/>
          <w:szCs w:val="24"/>
          <w:highlight w:val="none"/>
          <w:lang w:val="en-US" w:eastAsia="zh-CN"/>
          <w14:textFill>
            <w14:solidFill>
              <w14:schemeClr w14:val="tx1"/>
            </w14:solidFill>
          </w14:textFill>
        </w:rPr>
        <w:t>2026年6月1日—2027年5月31日</w:t>
      </w:r>
      <w:r>
        <w:rPr>
          <w:rFonts w:hint="eastAsia" w:ascii="宋体" w:hAnsi="宋体"/>
          <w:color w:val="000000" w:themeColor="text1"/>
          <w:sz w:val="24"/>
          <w:szCs w:val="24"/>
          <w:highlight w:val="none"/>
          <w:lang w:eastAsia="zh-CN"/>
          <w14:textFill>
            <w14:solidFill>
              <w14:schemeClr w14:val="tx1"/>
            </w14:solidFill>
          </w14:textFill>
        </w:rPr>
        <w:t>），北院（</w:t>
      </w:r>
      <w:r>
        <w:rPr>
          <w:rFonts w:hint="eastAsia" w:ascii="宋体" w:hAnsi="宋体"/>
          <w:color w:val="000000" w:themeColor="text1"/>
          <w:sz w:val="24"/>
          <w:szCs w:val="24"/>
          <w:highlight w:val="none"/>
          <w:lang w:val="en-US" w:eastAsia="zh-CN"/>
          <w14:textFill>
            <w14:solidFill>
              <w14:schemeClr w14:val="tx1"/>
            </w14:solidFill>
          </w14:textFill>
        </w:rPr>
        <w:t>2026年1月1日—2026年12月31日</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，服务期</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年期满或累计服务费达到预算金额，其中任意一项达到即为本项目完成。</w:t>
      </w:r>
      <w:r>
        <w:rPr>
          <w:rFonts w:hint="eastAsia" w:ascii="宋体" w:hAnsi="宋体" w:cs="宋体"/>
          <w:color w:val="000000" w:themeColor="text1"/>
          <w:sz w:val="24"/>
          <w:szCs w:val="24"/>
          <w:highlight w:val="none"/>
          <w14:textFill>
            <w14:solidFill>
              <w14:schemeClr w14:val="tx1"/>
            </w14:solidFill>
          </w14:textFill>
        </w:rPr>
        <w:t>详见磋商文件第四章《采购需求》</w:t>
      </w:r>
      <w:r>
        <w:rPr>
          <w:rFonts w:hint="eastAsia" w:ascii="宋体" w:hAnsi="宋体" w:cs="宋体"/>
          <w:color w:val="000000" w:themeColor="text1"/>
          <w:sz w:val="24"/>
          <w:szCs w:val="24"/>
          <w:highlight w:val="none"/>
          <w:lang w:eastAsia="zh-CN"/>
          <w14:textFill>
            <w14:solidFill>
              <w14:schemeClr w14:val="tx1"/>
            </w14:solidFill>
          </w14:textFill>
        </w:rPr>
        <w:t>。</w:t>
      </w:r>
    </w:p>
    <w:p w14:paraId="4A06180F">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11.本项目不接受联合体投标。</w:t>
      </w:r>
    </w:p>
    <w:p w14:paraId="5B2A0BA4">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7" w:name="_Toc28359080"/>
      <w:bookmarkStart w:id="8" w:name="_Toc35393791"/>
      <w:bookmarkStart w:id="9" w:name="_Toc35393622"/>
      <w:bookmarkStart w:id="10" w:name="_Toc28359003"/>
      <w:bookmarkStart w:id="11" w:name="_Toc38985264"/>
      <w:r>
        <w:rPr>
          <w:rFonts w:hint="eastAsia"/>
          <w:color w:val="000000" w:themeColor="text1"/>
          <w:sz w:val="30"/>
          <w:szCs w:val="30"/>
          <w:highlight w:val="none"/>
          <w14:textFill>
            <w14:solidFill>
              <w14:schemeClr w14:val="tx1"/>
            </w14:solidFill>
          </w14:textFill>
        </w:rPr>
        <w:t>二、申请人的资格要求</w:t>
      </w:r>
      <w:bookmarkEnd w:id="7"/>
      <w:bookmarkEnd w:id="8"/>
      <w:bookmarkEnd w:id="9"/>
      <w:bookmarkEnd w:id="10"/>
      <w:bookmarkEnd w:id="11"/>
    </w:p>
    <w:p w14:paraId="38BD46E4">
      <w:pPr>
        <w:spacing w:line="500" w:lineRule="exact"/>
        <w:ind w:firstLine="480"/>
        <w:rPr>
          <w:rFonts w:ascii="宋体" w:hAnsi="宋体"/>
          <w:color w:val="000000" w:themeColor="text1"/>
          <w:sz w:val="24"/>
          <w:szCs w:val="24"/>
          <w:highlight w:val="none"/>
          <w14:textFill>
            <w14:solidFill>
              <w14:schemeClr w14:val="tx1"/>
            </w14:solidFill>
          </w14:textFill>
        </w:rPr>
      </w:pPr>
      <w:bookmarkStart w:id="12" w:name="_Toc28359081"/>
      <w:bookmarkStart w:id="13" w:name="_Toc35393623"/>
      <w:bookmarkStart w:id="14" w:name="_Toc35393792"/>
      <w:bookmarkStart w:id="15" w:name="_Toc38985265"/>
      <w:bookmarkStart w:id="16" w:name="_Toc28359004"/>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09877FD6">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0534B68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2.1中小企业政策：本项目专门面向中小企业（含监狱企业、残疾人福利性单位）；</w:t>
      </w:r>
    </w:p>
    <w:p w14:paraId="5AFF8E0A">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2.2本项目标的所属行业：</w:t>
      </w:r>
      <w:r>
        <w:rPr>
          <w:rFonts w:hint="eastAsia" w:ascii="宋体" w:hAnsi="宋体" w:cs="宋体"/>
          <w:color w:val="000000" w:themeColor="text1"/>
          <w:sz w:val="24"/>
          <w:highlight w:val="none"/>
          <w14:textFill>
            <w14:solidFill>
              <w14:schemeClr w14:val="tx1"/>
            </w14:solidFill>
          </w14:textFill>
        </w:rPr>
        <w:t>建筑业。根据《中小企业划型标准规定》工信部联企业〔2011〕300号</w:t>
      </w:r>
      <w:r>
        <w:rPr>
          <w:rFonts w:hint="eastAsia" w:ascii="宋体" w:hAnsi="宋体"/>
          <w:color w:val="000000" w:themeColor="text1"/>
          <w:sz w:val="24"/>
          <w:highlight w:val="none"/>
          <w14:textFill>
            <w14:solidFill>
              <w14:schemeClr w14:val="tx1"/>
            </w14:solidFill>
          </w14:textFill>
        </w:rPr>
        <w:t>规定，建筑业：</w:t>
      </w:r>
      <w:r>
        <w:rPr>
          <w:rFonts w:hint="eastAsia" w:ascii="宋体" w:hAnsi="宋体" w:cs="宋体"/>
          <w:color w:val="000000" w:themeColor="text1"/>
          <w:sz w:val="24"/>
          <w:highlight w:val="none"/>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E2A9CD2">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513BC4DD">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3.本项目的特定资格要求：</w:t>
      </w:r>
    </w:p>
    <w:p w14:paraId="4B3F8CA1">
      <w:pPr>
        <w:spacing w:line="500" w:lineRule="exact"/>
        <w:ind w:firstLine="480"/>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w:t>
      </w:r>
      <w:r>
        <w:rPr>
          <w:rFonts w:hint="eastAsia" w:ascii="宋体" w:hAnsi="宋体" w:cs="宋体"/>
          <w:color w:val="000000" w:themeColor="text1"/>
          <w:sz w:val="24"/>
          <w14:textFill>
            <w14:solidFill>
              <w14:schemeClr w14:val="tx1"/>
            </w14:solidFill>
          </w14:textFill>
        </w:rPr>
        <w:t>投标供应商必须</w:t>
      </w:r>
      <w:r>
        <w:rPr>
          <w:rFonts w:hint="eastAsia" w:ascii="宋体" w:hAnsi="宋体" w:cs="宋体"/>
          <w:color w:val="000000" w:themeColor="text1"/>
          <w:sz w:val="24"/>
          <w:lang w:val="zh-CN"/>
          <w14:textFill>
            <w14:solidFill>
              <w14:schemeClr w14:val="tx1"/>
            </w14:solidFill>
          </w14:textFill>
        </w:rPr>
        <w:t>具有建筑工程施工总承包三级（含）及以上资质</w:t>
      </w:r>
      <w:r>
        <w:rPr>
          <w:rFonts w:hint="eastAsia" w:ascii="宋体" w:hAnsi="宋体" w:cs="宋体"/>
          <w:color w:val="000000" w:themeColor="text1"/>
          <w:sz w:val="24"/>
          <w:lang w:val="en-US" w:eastAsia="zh-CN"/>
          <w14:textFill>
            <w14:solidFill>
              <w14:schemeClr w14:val="tx1"/>
            </w14:solidFill>
          </w14:textFill>
        </w:rPr>
        <w:t>或者建筑装修装饰工程专业承包二级及以上资质</w:t>
      </w:r>
      <w:r>
        <w:rPr>
          <w:rFonts w:hint="eastAsia" w:ascii="宋体" w:hAnsi="宋体" w:cs="宋体"/>
          <w:color w:val="000000" w:themeColor="text1"/>
          <w:sz w:val="24"/>
          <w:highlight w:val="none"/>
          <w:lang w:val="zh-CN"/>
          <w14:textFill>
            <w14:solidFill>
              <w14:schemeClr w14:val="tx1"/>
            </w14:solidFill>
          </w14:textFill>
        </w:rPr>
        <w:t>；</w:t>
      </w:r>
    </w:p>
    <w:p w14:paraId="6EEFA644">
      <w:pPr>
        <w:spacing w:line="5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3.2</w:t>
      </w:r>
      <w:r>
        <w:rPr>
          <w:rFonts w:hint="eastAsia" w:ascii="宋体" w:hAnsi="宋体" w:cs="宋体"/>
          <w:color w:val="000000" w:themeColor="text1"/>
          <w:sz w:val="24"/>
          <w:highlight w:val="none"/>
          <w14:textFill>
            <w14:solidFill>
              <w14:schemeClr w14:val="tx1"/>
            </w14:solidFill>
          </w14:textFill>
        </w:rPr>
        <w:t>投标供应商必须具备有效期内的安全生产许可证；</w:t>
      </w:r>
    </w:p>
    <w:p w14:paraId="135228CD">
      <w:pPr>
        <w:spacing w:line="50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3.3项目负责人具备建筑工程专业二级</w:t>
      </w:r>
      <w:r>
        <w:rPr>
          <w:rFonts w:hint="eastAsia" w:ascii="宋体" w:hAnsi="宋体" w:cs="宋体"/>
          <w:color w:val="000000" w:themeColor="text1"/>
          <w:sz w:val="24"/>
          <w:highlight w:val="none"/>
          <w:lang w:val="zh-CN"/>
          <w14:textFill>
            <w14:solidFill>
              <w14:schemeClr w14:val="tx1"/>
            </w14:solidFill>
          </w14:textFill>
        </w:rPr>
        <w:t>及以上</w:t>
      </w:r>
      <w:r>
        <w:rPr>
          <w:rFonts w:hint="eastAsia" w:ascii="宋体" w:hAnsi="宋体" w:cs="宋体"/>
          <w:color w:val="000000" w:themeColor="text1"/>
          <w:sz w:val="24"/>
          <w:highlight w:val="none"/>
          <w14:textFill>
            <w14:solidFill>
              <w14:schemeClr w14:val="tx1"/>
            </w14:solidFill>
          </w14:textFill>
        </w:rPr>
        <w:t>注册建造师证书及有效期内的《建筑施工企业项目负责人安全生产考核合格证》</w:t>
      </w:r>
      <w:r>
        <w:rPr>
          <w:rFonts w:hint="eastAsia" w:ascii="宋体" w:hAnsi="宋体" w:cs="宋体"/>
          <w:color w:val="000000" w:themeColor="text1"/>
          <w:sz w:val="24"/>
          <w:highlight w:val="none"/>
          <w:lang w:val="en-US" w:eastAsia="zh-CN"/>
          <w14:textFill>
            <w14:solidFill>
              <w14:schemeClr w14:val="tx1"/>
            </w14:solidFill>
          </w14:textFill>
        </w:rPr>
        <w:t>B证</w:t>
      </w:r>
      <w:r>
        <w:rPr>
          <w:rFonts w:hint="eastAsia" w:ascii="宋体" w:hAnsi="宋体" w:cs="宋体"/>
          <w:color w:val="000000" w:themeColor="text1"/>
          <w:sz w:val="24"/>
          <w:highlight w:val="none"/>
          <w14:textFill>
            <w14:solidFill>
              <w14:schemeClr w14:val="tx1"/>
            </w14:solidFill>
          </w14:textFill>
        </w:rPr>
        <w:t>。</w:t>
      </w:r>
    </w:p>
    <w:p w14:paraId="458C0BD5">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3.4法定代表人授权代表及项目负责人由有关部门出具的近三个月（不含磋商当月）中任意一个月的社保缴费证明（事业单位可提供其他相关证明）</w:t>
      </w:r>
    </w:p>
    <w:p w14:paraId="5CFB447F">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三、获取磋商文件</w:t>
      </w:r>
      <w:bookmarkEnd w:id="12"/>
      <w:bookmarkEnd w:id="13"/>
      <w:bookmarkEnd w:id="14"/>
      <w:bookmarkEnd w:id="15"/>
      <w:bookmarkEnd w:id="16"/>
    </w:p>
    <w:p w14:paraId="2547B081">
      <w:pPr>
        <w:spacing w:line="500" w:lineRule="exact"/>
        <w:ind w:firstLine="540"/>
        <w:rPr>
          <w:rFonts w:ascii="宋体" w:hAnsi="宋体"/>
          <w:color w:val="000000" w:themeColor="text1"/>
          <w:sz w:val="24"/>
          <w:szCs w:val="24"/>
          <w:highlight w:val="none"/>
          <w14:textFill>
            <w14:solidFill>
              <w14:schemeClr w14:val="tx1"/>
            </w14:solidFill>
          </w14:textFill>
        </w:rPr>
      </w:pPr>
      <w:bookmarkStart w:id="17" w:name="_Toc28359005"/>
      <w:bookmarkStart w:id="18" w:name="_Toc28359082"/>
      <w:bookmarkStart w:id="19" w:name="_Toc38985266"/>
      <w:bookmarkStart w:id="20" w:name="_Toc35393793"/>
      <w:bookmarkStart w:id="21" w:name="_Toc35393624"/>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olor w:val="000000" w:themeColor="text1"/>
          <w:sz w:val="24"/>
          <w:szCs w:val="24"/>
          <w:highlight w:val="none"/>
          <w14:textFill>
            <w14:solidFill>
              <w14:schemeClr w14:val="tx1"/>
            </w14:solidFill>
          </w14:textFill>
        </w:rPr>
        <w:t>本磋商文件有效获取期限以本项目磋商公告中规定的获取磋商文件时间为准。</w:t>
      </w:r>
    </w:p>
    <w:p w14:paraId="520F06DE">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p>
    <w:p w14:paraId="7310B1AE">
      <w:pPr>
        <w:spacing w:line="500" w:lineRule="exact"/>
        <w:ind w:firstLine="540"/>
        <w:rPr>
          <w:rStyle w:val="69"/>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3.方式：请有投标意向的供应商在磋商文件有效获取期内及时至</w:t>
      </w:r>
      <w:r>
        <w:rPr>
          <w:rFonts w:ascii="宋体" w:hAnsi="宋体"/>
          <w:color w:val="000000" w:themeColor="text1"/>
          <w:sz w:val="24"/>
          <w:szCs w:val="24"/>
          <w:highlight w:val="none"/>
          <w14:textFill>
            <w14:solidFill>
              <w14:schemeClr w14:val="tx1"/>
            </w14:solidFill>
          </w14:textFill>
        </w:rPr>
        <w:t>“江苏省政府采购（苏采云）平台”（http://jszfcg.jscz.gov.cn/jszc/login）获取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在磋商文件有效获取期限内，从</w:t>
      </w:r>
      <w:r>
        <w:rPr>
          <w:rFonts w:ascii="宋体" w:hAnsi="宋体"/>
          <w:color w:val="000000" w:themeColor="text1"/>
          <w:sz w:val="24"/>
          <w:szCs w:val="24"/>
          <w:highlight w:val="none"/>
          <w14:textFill>
            <w14:solidFill>
              <w14:schemeClr w14:val="tx1"/>
            </w14:solidFill>
          </w14:textFill>
        </w:rPr>
        <w:t>“江苏省政府采购（苏采云）平台”获取的</w:t>
      </w:r>
      <w:r>
        <w:rPr>
          <w:rFonts w:hint="eastAsia" w:ascii="宋体" w:hAnsi="宋体"/>
          <w:bCs/>
          <w:color w:val="000000" w:themeColor="text1"/>
          <w:sz w:val="24"/>
          <w:szCs w:val="24"/>
          <w:highlight w:val="none"/>
          <w14:textFill>
            <w14:solidFill>
              <w14:schemeClr w14:val="tx1"/>
            </w14:solidFill>
          </w14:textFill>
        </w:rPr>
        <w:t>磋商文件，视为依法获取的磋商文件。</w:t>
      </w:r>
    </w:p>
    <w:p w14:paraId="498FFFDF">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4.售价：本项目磋商文件免费。</w:t>
      </w:r>
    </w:p>
    <w:p w14:paraId="66F8B5A1">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四、提交响应文件</w:t>
      </w:r>
      <w:bookmarkEnd w:id="17"/>
      <w:bookmarkEnd w:id="18"/>
      <w:r>
        <w:rPr>
          <w:rFonts w:hint="eastAsia"/>
          <w:color w:val="000000" w:themeColor="text1"/>
          <w:sz w:val="30"/>
          <w:szCs w:val="30"/>
          <w:highlight w:val="none"/>
          <w14:textFill>
            <w14:solidFill>
              <w14:schemeClr w14:val="tx1"/>
            </w14:solidFill>
          </w14:textFill>
        </w:rPr>
        <w:t>截止时间、开标时间和地点</w:t>
      </w:r>
      <w:bookmarkEnd w:id="19"/>
      <w:bookmarkEnd w:id="20"/>
      <w:bookmarkEnd w:id="21"/>
    </w:p>
    <w:p w14:paraId="34D1E560">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1.时间</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2025年12月23日</w:t>
      </w:r>
      <w:r>
        <w:rPr>
          <w:rFonts w:hint="eastAsia" w:ascii="宋体" w:hAnsi="宋体"/>
          <w:color w:val="000000" w:themeColor="text1"/>
          <w:sz w:val="24"/>
          <w:szCs w:val="24"/>
          <w:highlight w:val="none"/>
          <w:lang w:val="en-US" w:eastAsia="zh-CN"/>
          <w14:textFill>
            <w14:solidFill>
              <w14:schemeClr w14:val="tx1"/>
            </w14:solidFill>
          </w14:textFill>
        </w:rPr>
        <w:t>14</w:t>
      </w:r>
      <w:r>
        <w:rPr>
          <w:rFonts w:ascii="宋体" w:hAnsi="宋体"/>
          <w:color w:val="000000" w:themeColor="text1"/>
          <w:sz w:val="24"/>
          <w:szCs w:val="24"/>
          <w:highlight w:val="none"/>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00</w:t>
      </w:r>
      <w:r>
        <w:rPr>
          <w:rFonts w:ascii="宋体" w:hAnsi="宋体"/>
          <w:color w:val="000000" w:themeColor="text1"/>
          <w:sz w:val="24"/>
          <w:szCs w:val="24"/>
          <w:highlight w:val="none"/>
          <w14:textFill>
            <w14:solidFill>
              <w14:schemeClr w14:val="tx1"/>
            </w14:solidFill>
          </w14:textFill>
        </w:rPr>
        <w:t>分（北京时</w:t>
      </w:r>
      <w:r>
        <w:rPr>
          <w:rFonts w:hint="eastAsia" w:ascii="宋体" w:hAnsi="宋体"/>
          <w:bCs/>
          <w:color w:val="000000" w:themeColor="text1"/>
          <w:sz w:val="24"/>
          <w:szCs w:val="24"/>
          <w:highlight w:val="none"/>
          <w14:textFill>
            <w14:solidFill>
              <w14:schemeClr w14:val="tx1"/>
            </w14:solidFill>
          </w14:textFill>
        </w:rPr>
        <w:t>间）</w:t>
      </w:r>
    </w:p>
    <w:p w14:paraId="05FCF220">
      <w:pPr>
        <w:spacing w:line="500" w:lineRule="exact"/>
        <w:ind w:firstLine="480"/>
        <w:rPr>
          <w:rFonts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网上开标大厅。</w:t>
      </w:r>
    </w:p>
    <w:p w14:paraId="2E34CA08">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22" w:name="_Toc28359084"/>
      <w:bookmarkStart w:id="23" w:name="_Toc38985267"/>
      <w:bookmarkStart w:id="24" w:name="_Toc28359007"/>
      <w:bookmarkStart w:id="25" w:name="_Toc35393794"/>
      <w:bookmarkStart w:id="26" w:name="_Toc35393625"/>
      <w:r>
        <w:rPr>
          <w:rFonts w:hint="eastAsia"/>
          <w:color w:val="000000" w:themeColor="text1"/>
          <w:sz w:val="30"/>
          <w:szCs w:val="30"/>
          <w:highlight w:val="none"/>
          <w14:textFill>
            <w14:solidFill>
              <w14:schemeClr w14:val="tx1"/>
            </w14:solidFill>
          </w14:textFill>
        </w:rPr>
        <w:t>五、公告期限</w:t>
      </w:r>
      <w:bookmarkEnd w:id="22"/>
      <w:bookmarkEnd w:id="23"/>
      <w:bookmarkEnd w:id="24"/>
      <w:bookmarkEnd w:id="25"/>
      <w:bookmarkEnd w:id="26"/>
    </w:p>
    <w:p w14:paraId="6EBBC181">
      <w:pPr>
        <w:spacing w:line="500" w:lineRule="exact"/>
        <w:ind w:firstLine="480"/>
        <w:rPr>
          <w:rFonts w:ascii="宋体" w:hAnsi="宋体" w:cs="宋体"/>
          <w:color w:val="000000" w:themeColor="text1"/>
          <w:sz w:val="24"/>
          <w:szCs w:val="24"/>
          <w:highlight w:val="none"/>
          <w14:textFill>
            <w14:solidFill>
              <w14:schemeClr w14:val="tx1"/>
            </w14:solidFill>
          </w14:textFill>
        </w:rPr>
      </w:pPr>
      <w:bookmarkStart w:id="27" w:name="_Toc38985268"/>
      <w:bookmarkStart w:id="28" w:name="_Toc35393795"/>
      <w:bookmarkStart w:id="29" w:name="_Toc35393626"/>
      <w:r>
        <w:rPr>
          <w:rFonts w:hint="eastAsia" w:ascii="宋体" w:hAnsi="宋体" w:cs="宋体"/>
          <w:color w:val="000000" w:themeColor="text1"/>
          <w:sz w:val="24"/>
          <w:szCs w:val="24"/>
          <w:highlight w:val="none"/>
          <w14:textFill>
            <w14:solidFill>
              <w14:schemeClr w14:val="tx1"/>
            </w14:solidFill>
          </w14:textFill>
        </w:rPr>
        <w:t>（磋商公告及磋商文件公告期限）自本公告发布之日起3个工作日。</w:t>
      </w:r>
    </w:p>
    <w:p w14:paraId="3C321C95">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六、其他补充事宜</w:t>
      </w:r>
      <w:bookmarkEnd w:id="27"/>
      <w:bookmarkEnd w:id="28"/>
      <w:bookmarkEnd w:id="29"/>
    </w:p>
    <w:p w14:paraId="2447505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w:t>
      </w:r>
    </w:p>
    <w:p w14:paraId="06D7626F">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30" w:name="_Toc28359085"/>
      <w:bookmarkStart w:id="31" w:name="_Toc35393796"/>
      <w:bookmarkStart w:id="32" w:name="_Toc38985269"/>
      <w:bookmarkStart w:id="33" w:name="_Toc28359008"/>
      <w:bookmarkStart w:id="34" w:name="_Toc35393627"/>
      <w:r>
        <w:rPr>
          <w:rFonts w:hint="eastAsia"/>
          <w:color w:val="000000" w:themeColor="text1"/>
          <w:sz w:val="30"/>
          <w:szCs w:val="30"/>
          <w:highlight w:val="none"/>
          <w14:textFill>
            <w14:solidFill>
              <w14:schemeClr w14:val="tx1"/>
            </w14:solidFill>
          </w14:textFill>
        </w:rPr>
        <w:t>七、本项目联系方式</w:t>
      </w:r>
      <w:bookmarkEnd w:id="30"/>
      <w:bookmarkEnd w:id="31"/>
      <w:bookmarkEnd w:id="32"/>
      <w:bookmarkEnd w:id="33"/>
      <w:bookmarkEnd w:id="34"/>
    </w:p>
    <w:p w14:paraId="46BD5C6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1.采购人信息</w:t>
      </w:r>
    </w:p>
    <w:p w14:paraId="6DC70730">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eastAsia="zh-CN"/>
          <w14:textFill>
            <w14:solidFill>
              <w14:schemeClr w14:val="tx1"/>
            </w14:solidFill>
          </w14:textFill>
        </w:rPr>
        <w:t>无锡市第二人民医院</w:t>
      </w:r>
    </w:p>
    <w:p w14:paraId="15ADCB4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lang w:eastAsia="zh-CN"/>
          <w14:textFill>
            <w14:solidFill>
              <w14:schemeClr w14:val="tx1"/>
            </w14:solidFill>
          </w14:textFill>
        </w:rPr>
        <w:t>无锡市梁溪区中山路68号</w:t>
      </w:r>
    </w:p>
    <w:p w14:paraId="40A01203">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bookmarkStart w:id="35" w:name="_Toc28359009"/>
      <w:bookmarkStart w:id="36" w:name="_Toc28359086"/>
      <w:r>
        <w:rPr>
          <w:rFonts w:hint="eastAsia" w:ascii="宋体" w:hAnsi="宋体" w:cs="宋体"/>
          <w:color w:val="000000" w:themeColor="text1"/>
          <w:sz w:val="24"/>
          <w:szCs w:val="24"/>
          <w:highlight w:val="none"/>
          <w14:textFill>
            <w14:solidFill>
              <w14:schemeClr w14:val="tx1"/>
            </w14:solidFill>
          </w14:textFill>
        </w:rPr>
        <w:t>见“项目联系方式”</w:t>
      </w:r>
    </w:p>
    <w:p w14:paraId="39CC4FA2">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bookmarkEnd w:id="35"/>
      <w:bookmarkEnd w:id="36"/>
      <w:r>
        <w:rPr>
          <w:rFonts w:hint="eastAsia" w:ascii="宋体" w:hAnsi="宋体" w:cs="宋体"/>
          <w:color w:val="000000" w:themeColor="text1"/>
          <w:sz w:val="24"/>
          <w:szCs w:val="24"/>
          <w:highlight w:val="none"/>
          <w14:textFill>
            <w14:solidFill>
              <w14:schemeClr w14:val="tx1"/>
            </w14:solidFill>
          </w14:textFill>
        </w:rPr>
        <w:t>采购代理机构信息</w:t>
      </w:r>
    </w:p>
    <w:p w14:paraId="605813F7">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称：江苏信中天工程咨询有限公司</w:t>
      </w:r>
    </w:p>
    <w:p w14:paraId="7DCB7C2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址：无锡市滨湖区太湖大道2288号华仁</w:t>
      </w:r>
      <w:r>
        <w:rPr>
          <w:rFonts w:hint="eastAsia" w:ascii="宋体" w:hAnsi="宋体" w:cs="宋体"/>
          <w:color w:val="000000" w:themeColor="text1"/>
          <w:sz w:val="24"/>
          <w:szCs w:val="24"/>
          <w:highlight w:val="none"/>
          <w:lang w:val="en-US" w:eastAsia="zh-CN"/>
          <w14:textFill>
            <w14:solidFill>
              <w14:schemeClr w14:val="tx1"/>
            </w14:solidFill>
          </w14:textFill>
        </w:rPr>
        <w:t>逸景</w:t>
      </w:r>
      <w:r>
        <w:rPr>
          <w:rFonts w:hint="eastAsia" w:ascii="宋体" w:hAnsi="宋体" w:cs="宋体"/>
          <w:color w:val="000000" w:themeColor="text1"/>
          <w:sz w:val="24"/>
          <w:szCs w:val="24"/>
          <w:highlight w:val="none"/>
          <w14:textFill>
            <w14:solidFill>
              <w14:schemeClr w14:val="tx1"/>
            </w14:solidFill>
          </w14:textFill>
        </w:rPr>
        <w:t>大厦5楼</w:t>
      </w:r>
    </w:p>
    <w:p w14:paraId="7B4E7FC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联系方式：见“项目联系方式”</w:t>
      </w:r>
    </w:p>
    <w:p w14:paraId="1BCC62EB">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3.项目联系方式</w:t>
      </w:r>
    </w:p>
    <w:p w14:paraId="6DBE146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采购人联系人：</w:t>
      </w:r>
      <w:r>
        <w:rPr>
          <w:rFonts w:hint="eastAsia" w:ascii="宋体" w:hAnsi="宋体" w:cs="宋体"/>
          <w:color w:val="000000" w:themeColor="text1"/>
          <w:sz w:val="24"/>
          <w:szCs w:val="24"/>
          <w:highlight w:val="none"/>
          <w:lang w:val="en-US" w:eastAsia="zh-CN"/>
          <w14:textFill>
            <w14:solidFill>
              <w14:schemeClr w14:val="tx1"/>
            </w14:solidFill>
          </w14:textFill>
        </w:rPr>
        <w:t>秦老师</w:t>
      </w:r>
      <w:r>
        <w:rPr>
          <w:rFonts w:hint="eastAsia" w:ascii="宋体" w:hAnsi="宋体" w:cs="宋体"/>
          <w:color w:val="000000" w:themeColor="text1"/>
          <w:sz w:val="24"/>
          <w:szCs w:val="24"/>
          <w:highlight w:val="none"/>
          <w14:textFill>
            <w14:solidFill>
              <w14:schemeClr w14:val="tx1"/>
            </w14:solidFill>
          </w14:textFill>
        </w:rPr>
        <w:t>；电话：</w:t>
      </w:r>
      <w:r>
        <w:rPr>
          <w:rFonts w:hint="eastAsia" w:ascii="宋体" w:hAnsi="宋体" w:eastAsia="宋体" w:cs="宋体"/>
          <w:color w:val="000000" w:themeColor="text1"/>
          <w:sz w:val="24"/>
          <w:szCs w:val="24"/>
          <w:highlight w:val="none"/>
          <w14:textFill>
            <w14:solidFill>
              <w14:schemeClr w14:val="tx1"/>
            </w14:solidFill>
          </w14:textFill>
        </w:rPr>
        <w:t>0510-68563113</w:t>
      </w:r>
    </w:p>
    <w:p w14:paraId="3DA67167">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代理机构联系人：</w:t>
      </w:r>
      <w:r>
        <w:rPr>
          <w:rFonts w:hint="eastAsia" w:ascii="宋体" w:hAnsi="宋体" w:cs="宋体"/>
          <w:color w:val="000000" w:themeColor="text1"/>
          <w:sz w:val="24"/>
          <w:szCs w:val="24"/>
          <w:highlight w:val="none"/>
          <w:lang w:val="en-US" w:eastAsia="zh-CN"/>
          <w14:textFill>
            <w14:solidFill>
              <w14:schemeClr w14:val="tx1"/>
            </w14:solidFill>
          </w14:textFill>
        </w:rPr>
        <w:t>张成东、曹佶、傅嘉丽、张希</w:t>
      </w:r>
      <w:r>
        <w:rPr>
          <w:rFonts w:hint="eastAsia" w:ascii="宋体" w:hAnsi="宋体" w:cs="宋体"/>
          <w:color w:val="000000" w:themeColor="text1"/>
          <w:sz w:val="24"/>
          <w:szCs w:val="24"/>
          <w:highlight w:val="none"/>
          <w14:textFill>
            <w14:solidFill>
              <w14:schemeClr w14:val="tx1"/>
            </w14:solidFill>
          </w14:textFill>
        </w:rPr>
        <w:t>；电话：0510-85886808；电子邮箱：wxztzb@163.com</w:t>
      </w:r>
    </w:p>
    <w:p w14:paraId="13DE72A9">
      <w:pPr>
        <w:pStyle w:val="4"/>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八、其他</w:t>
      </w:r>
    </w:p>
    <w:p w14:paraId="147EEEF9">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（一）供应商“账号注册”及CA办理</w:t>
      </w:r>
    </w:p>
    <w:p w14:paraId="391B232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请有意参加本项目采购活动的供应商按以下流程进行操作：</w:t>
      </w:r>
    </w:p>
    <w:p w14:paraId="3989589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（以下简称</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系统</w:t>
      </w:r>
      <w:r>
        <w:rPr>
          <w:rFonts w:hint="eastAsia" w:ascii="宋体" w:hAnsi="宋体"/>
          <w:color w:val="000000" w:themeColor="text1"/>
          <w:sz w:val="24"/>
          <w:szCs w:val="24"/>
          <w:highlight w:val="none"/>
          <w14:textFill>
            <w14:solidFill>
              <w14:schemeClr w14:val="tx1"/>
            </w14:solidFill>
          </w14:textFill>
        </w:rPr>
        <w:t>中填写资质信息并提交。也可以直接通过http://jszfcg.jsczt.cn/进入界面。</w:t>
      </w:r>
    </w:p>
    <w:p w14:paraId="34F16697">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）办理</w:t>
      </w:r>
      <w:r>
        <w:rPr>
          <w:rFonts w:hint="eastAsia" w:ascii="宋体" w:hAnsi="宋体"/>
          <w:color w:val="000000" w:themeColor="text1"/>
          <w:sz w:val="24"/>
          <w:szCs w:val="24"/>
          <w:highlight w:val="none"/>
          <w14:textFill>
            <w14:solidFill>
              <w14:schemeClr w14:val="tx1"/>
            </w14:solidFill>
          </w14:textFill>
        </w:rPr>
        <w:t>“意源”CA数字证书和“方正”电子签章</w:t>
      </w:r>
      <w:r>
        <w:rPr>
          <w:rFonts w:ascii="宋体" w:hAnsi="宋体"/>
          <w:color w:val="000000" w:themeColor="text1"/>
          <w:sz w:val="24"/>
          <w:szCs w:val="24"/>
          <w:highlight w:val="none"/>
          <w14:textFill>
            <w14:solidFill>
              <w14:schemeClr w14:val="tx1"/>
            </w14:solidFill>
          </w14:textFill>
        </w:rPr>
        <w:t>（办理地址：</w:t>
      </w:r>
      <w:r>
        <w:rPr>
          <w:rFonts w:hint="eastAsia" w:ascii="宋体" w:hAnsi="宋体"/>
          <w:color w:val="000000" w:themeColor="text1"/>
          <w:sz w:val="24"/>
          <w:szCs w:val="24"/>
          <w:highlight w:val="none"/>
          <w14:textFill>
            <w14:solidFill>
              <w14:schemeClr w14:val="tx1"/>
            </w14:solidFill>
          </w14:textFill>
        </w:rPr>
        <w:t>无锡市滨湖区观山路</w:t>
      </w:r>
      <w:r>
        <w:rPr>
          <w:rFonts w:ascii="宋体" w:hAnsi="宋体"/>
          <w:color w:val="000000" w:themeColor="text1"/>
          <w:sz w:val="24"/>
          <w:szCs w:val="24"/>
          <w:highlight w:val="none"/>
          <w14:textFill>
            <w14:solidFill>
              <w14:schemeClr w14:val="tx1"/>
            </w14:solidFill>
          </w14:textFill>
        </w:rPr>
        <w:t>199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号楼二楼</w:t>
      </w:r>
      <w:r>
        <w:rPr>
          <w:rFonts w:ascii="宋体" w:hAnsi="宋体"/>
          <w:color w:val="000000" w:themeColor="text1"/>
          <w:sz w:val="24"/>
          <w:szCs w:val="24"/>
          <w:highlight w:val="none"/>
          <w14:textFill>
            <w14:solidFill>
              <w14:schemeClr w14:val="tx1"/>
            </w14:solidFill>
          </w14:textFill>
        </w:rPr>
        <w:t>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sz w:val="24"/>
          <w:szCs w:val="24"/>
          <w:highlight w:val="none"/>
          <w14:textFill>
            <w14:solidFill>
              <w14:schemeClr w14:val="tx1"/>
            </w14:solidFill>
          </w14:textFill>
        </w:rPr>
        <w:t>号窗口</w:t>
      </w:r>
      <w:r>
        <w:rPr>
          <w:rFonts w:ascii="宋体" w:hAnsi="宋体"/>
          <w:color w:val="000000" w:themeColor="text1"/>
          <w:sz w:val="24"/>
          <w:szCs w:val="24"/>
          <w:highlight w:val="none"/>
          <w14:textFill>
            <w14:solidFill>
              <w14:schemeClr w14:val="tx1"/>
            </w14:solidFill>
          </w14:textFill>
        </w:rPr>
        <w:t>），办理指南链接：http://jsxcmm.com/help/help.html。</w:t>
      </w:r>
    </w:p>
    <w:p w14:paraId="7C0FFAA3">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）CA驱动下载：</w:t>
      </w:r>
    </w:p>
    <w:p w14:paraId="58BDD1C6">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账号登录页面，点击“驱动下载”链接中的“政务CA、方正签章控件驱动安装包及安装说明”可以直接下载驱动安装包，安装包中附有驱动安装手册。</w:t>
      </w:r>
    </w:p>
    <w:p w14:paraId="12152DC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技术服务电话：</w:t>
      </w:r>
      <w:r>
        <w:rPr>
          <w:rFonts w:hint="eastAsia" w:ascii="宋体" w:hAnsi="宋体"/>
          <w:color w:val="000000" w:themeColor="text1"/>
          <w:sz w:val="24"/>
          <w:szCs w:val="24"/>
          <w:highlight w:val="none"/>
          <w14:textFill>
            <w14:solidFill>
              <w14:schemeClr w14:val="tx1"/>
            </w14:solidFill>
          </w14:textFill>
        </w:rPr>
        <w:t>0510-81827781</w:t>
      </w:r>
      <w:r>
        <w:rPr>
          <w:rFonts w:ascii="宋体" w:hAnsi="宋体"/>
          <w:color w:val="000000" w:themeColor="text1"/>
          <w:sz w:val="24"/>
          <w:szCs w:val="24"/>
          <w:highlight w:val="none"/>
          <w14:textFill>
            <w14:solidFill>
              <w14:schemeClr w14:val="tx1"/>
            </w14:solidFill>
          </w14:textFill>
        </w:rPr>
        <w:t>（服务时间：工作日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w:t>
      </w:r>
    </w:p>
    <w:p w14:paraId="64111CDD">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完成</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账号注册</w:t>
      </w:r>
      <w:r>
        <w:rPr>
          <w:rFonts w:ascii="宋体" w:hAnsi="宋体"/>
          <w:color w:val="000000" w:themeColor="text1"/>
          <w:sz w:val="24"/>
          <w:szCs w:val="24"/>
          <w:highlight w:val="none"/>
          <w14:textFill>
            <w14:solidFill>
              <w14:schemeClr w14:val="tx1"/>
            </w14:solidFill>
          </w14:textFill>
        </w:rPr>
        <w:t>的供应商方可</w:t>
      </w:r>
      <w:r>
        <w:rPr>
          <w:rFonts w:hint="eastAsia"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中进行CA绑定。登录</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，插入CA后，点击【账号设置】——【绑定CA】。</w:t>
      </w:r>
    </w:p>
    <w:p w14:paraId="2FC6899A">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供应商应按上述要求提供相关材料信息，所提供的材料应均是真实的、准确的，若有违背，供应商自行承担由此而产生的一切后果。</w:t>
      </w:r>
    </w:p>
    <w:p w14:paraId="112D1ECD">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t>（以下简称</w:t>
      </w:r>
      <w:r>
        <w:rPr>
          <w:rFonts w:hint="eastAsia" w:ascii="宋体" w:hAnsi="宋体"/>
          <w:color w:val="000000" w:themeColor="text1"/>
          <w:sz w:val="24"/>
          <w:szCs w:val="24"/>
          <w:highlight w:val="none"/>
          <w14:textFill>
            <w14:solidFill>
              <w14:schemeClr w14:val="tx1"/>
            </w14:solidFill>
          </w14:textFill>
        </w:rPr>
        <w:t>《操作手册》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下载地址：无锡市政府采购网——资料下载——</w:t>
      </w:r>
      <w:r>
        <w:rPr>
          <w:rFonts w:hint="eastAsia" w:ascii="宋体" w:hAnsi="宋体"/>
          <w:color w:val="000000" w:themeColor="text1"/>
          <w:sz w:val="24"/>
          <w:szCs w:val="24"/>
          <w:highlight w:val="none"/>
          <w14:textFill>
            <w14:solidFill>
              <w14:schemeClr w14:val="tx1"/>
            </w14:solidFill>
          </w14:textFill>
        </w:rPr>
        <w:t>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w:t>
      </w:r>
    </w:p>
    <w:p w14:paraId="6380D9C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技术支持QQ：孙先生：442456465；王先生：1476328133</w:t>
      </w:r>
      <w:r>
        <w:rPr>
          <w:rFonts w:hint="eastAsia" w:ascii="宋体" w:hAnsi="宋体"/>
          <w:bCs/>
          <w:color w:val="000000" w:themeColor="text1"/>
          <w:sz w:val="24"/>
          <w:szCs w:val="24"/>
          <w:highlight w:val="none"/>
          <w14:textFill>
            <w14:solidFill>
              <w14:schemeClr w14:val="tx1"/>
            </w14:solidFill>
          </w14:textFill>
        </w:rPr>
        <w:t>。</w:t>
      </w:r>
    </w:p>
    <w:p w14:paraId="72541B02">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（二）完成项目参与，获取磋商文件</w:t>
      </w:r>
    </w:p>
    <w:p w14:paraId="5210460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供应商可在项目</w:t>
      </w:r>
      <w:r>
        <w:rPr>
          <w:rFonts w:hint="eastAsia" w:ascii="宋体" w:hAnsi="宋体"/>
          <w:color w:val="000000" w:themeColor="text1"/>
          <w:sz w:val="24"/>
          <w:szCs w:val="24"/>
          <w:highlight w:val="none"/>
          <w14:textFill>
            <w14:solidFill>
              <w14:schemeClr w14:val="tx1"/>
            </w14:solidFill>
          </w14:textFill>
        </w:rPr>
        <w:t>磋商公告</w:t>
      </w:r>
      <w:r>
        <w:rPr>
          <w:rFonts w:ascii="宋体" w:hAnsi="宋体"/>
          <w:color w:val="000000" w:themeColor="text1"/>
          <w:sz w:val="24"/>
          <w:szCs w:val="24"/>
          <w:highlight w:val="none"/>
          <w14:textFill>
            <w14:solidFill>
              <w14:schemeClr w14:val="tx1"/>
            </w14:solidFill>
          </w14:textFill>
        </w:rPr>
        <w:t>附件中查看</w:t>
      </w:r>
      <w:r>
        <w:rPr>
          <w:rFonts w:hint="eastAsia" w:ascii="宋体" w:hAnsi="宋体"/>
          <w:color w:val="000000" w:themeColor="text1"/>
          <w:sz w:val="24"/>
          <w:szCs w:val="24"/>
          <w:highlight w:val="none"/>
          <w14:textFill>
            <w14:solidFill>
              <w14:schemeClr w14:val="tx1"/>
            </w14:solidFill>
          </w14:textFill>
        </w:rPr>
        <w:t>竞争性磋商</w:t>
      </w:r>
      <w:r>
        <w:rPr>
          <w:rFonts w:ascii="宋体" w:hAnsi="宋体"/>
          <w:color w:val="000000" w:themeColor="text1"/>
          <w:sz w:val="24"/>
          <w:szCs w:val="24"/>
          <w:highlight w:val="none"/>
          <w14:textFill>
            <w14:solidFill>
              <w14:schemeClr w14:val="tx1"/>
            </w14:solidFill>
          </w14:textFill>
        </w:rPr>
        <w:t>文件，如确定参加本次</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活动，必须在</w:t>
      </w:r>
      <w:r>
        <w:rPr>
          <w:rFonts w:hint="eastAsia" w:ascii="宋体" w:hAnsi="宋体"/>
          <w:bCs/>
          <w:color w:val="000000" w:themeColor="text1"/>
          <w:sz w:val="24"/>
          <w:szCs w:val="24"/>
          <w:highlight w:val="none"/>
          <w14:textFill>
            <w14:solidFill>
              <w14:schemeClr w14:val="tx1"/>
            </w14:solidFill>
          </w14:textFill>
        </w:rPr>
        <w:t>磋商文件提供期限</w:t>
      </w:r>
      <w:r>
        <w:rPr>
          <w:rFonts w:ascii="宋体" w:hAnsi="宋体"/>
          <w:color w:val="000000" w:themeColor="text1"/>
          <w:sz w:val="24"/>
          <w:szCs w:val="24"/>
          <w:highlight w:val="none"/>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从</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中下载文件（“项目参与”——“</w:t>
      </w:r>
      <w:r>
        <w:rPr>
          <w:rFonts w:hint="eastAsia" w:ascii="宋体" w:hAnsi="宋体"/>
          <w:color w:val="000000" w:themeColor="text1"/>
          <w:sz w:val="24"/>
          <w:szCs w:val="24"/>
          <w:highlight w:val="none"/>
          <w14:textFill>
            <w14:solidFill>
              <w14:schemeClr w14:val="tx1"/>
            </w14:solidFill>
          </w14:textFill>
        </w:rPr>
        <w:t>采购项目参与</w:t>
      </w:r>
      <w:r>
        <w:rPr>
          <w:rFonts w:ascii="宋体" w:hAnsi="宋体"/>
          <w:color w:val="000000" w:themeColor="text1"/>
          <w:sz w:val="24"/>
          <w:szCs w:val="24"/>
          <w:highlight w:val="none"/>
          <w14:textFill>
            <w14:solidFill>
              <w14:schemeClr w14:val="tx1"/>
            </w14:solidFill>
          </w14:textFill>
        </w:rPr>
        <w:t>”找到需要获取</w:t>
      </w:r>
      <w:r>
        <w:rPr>
          <w:rFonts w:hint="eastAsia" w:ascii="宋体" w:hAnsi="宋体"/>
          <w:color w:val="000000" w:themeColor="text1"/>
          <w:sz w:val="24"/>
          <w:szCs w:val="24"/>
          <w:highlight w:val="none"/>
          <w14:textFill>
            <w14:solidFill>
              <w14:schemeClr w14:val="tx1"/>
            </w14:solidFill>
          </w14:textFill>
        </w:rPr>
        <w:t>磋商文件</w:t>
      </w:r>
      <w:r>
        <w:rPr>
          <w:rFonts w:ascii="宋体" w:hAnsi="宋体"/>
          <w:color w:val="000000" w:themeColor="text1"/>
          <w:sz w:val="24"/>
          <w:szCs w:val="24"/>
          <w:highlight w:val="none"/>
          <w14:textFill>
            <w14:solidFill>
              <w14:schemeClr w14:val="tx1"/>
            </w14:solidFill>
          </w14:textFill>
        </w:rPr>
        <w:t>的项目，点击“我要参与”——“参与投标”</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下载文件</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），完成项目</w:t>
      </w:r>
      <w:r>
        <w:rPr>
          <w:rFonts w:hint="eastAsia" w:ascii="宋体" w:hAnsi="宋体"/>
          <w:color w:val="000000" w:themeColor="text1"/>
          <w:sz w:val="24"/>
          <w:szCs w:val="24"/>
          <w:highlight w:val="none"/>
          <w14:textFill>
            <w14:solidFill>
              <w14:schemeClr w14:val="tx1"/>
            </w14:solidFill>
          </w14:textFill>
        </w:rPr>
        <w:t>参与</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下载的</w:t>
      </w:r>
      <w:r>
        <w:rPr>
          <w:rFonts w:hint="eastAsia" w:ascii="宋体" w:hAnsi="宋体"/>
          <w:color w:val="000000" w:themeColor="text1"/>
          <w:sz w:val="24"/>
          <w:szCs w:val="24"/>
          <w:highlight w:val="none"/>
          <w14:textFill>
            <w14:solidFill>
              <w14:schemeClr w14:val="tx1"/>
            </w14:solidFill>
          </w14:textFill>
        </w:rPr>
        <w:t>磋商文件（后缀名为“.kedt”）</w:t>
      </w:r>
      <w:r>
        <w:rPr>
          <w:rFonts w:ascii="宋体" w:hAnsi="宋体"/>
          <w:color w:val="000000" w:themeColor="text1"/>
          <w:sz w:val="24"/>
          <w:szCs w:val="24"/>
          <w:highlight w:val="none"/>
          <w14:textFill>
            <w14:solidFill>
              <w14:schemeClr w14:val="tx1"/>
            </w14:solidFill>
          </w14:textFill>
        </w:rPr>
        <w:t>导入到“政府采购客户端”，离线按要求</w:t>
      </w:r>
      <w:r>
        <w:rPr>
          <w:rFonts w:hint="eastAsia" w:ascii="宋体" w:hAnsi="宋体"/>
          <w:color w:val="000000" w:themeColor="text1"/>
          <w:sz w:val="24"/>
          <w:szCs w:val="24"/>
          <w:highlight w:val="none"/>
          <w14:textFill>
            <w14:solidFill>
              <w14:schemeClr w14:val="tx1"/>
            </w14:solidFill>
          </w14:textFill>
        </w:rPr>
        <w:t>编制</w:t>
      </w:r>
      <w:r>
        <w:rPr>
          <w:rFonts w:ascii="宋体" w:hAnsi="宋体"/>
          <w:color w:val="000000" w:themeColor="text1"/>
          <w:sz w:val="24"/>
          <w:szCs w:val="24"/>
          <w:highlight w:val="none"/>
          <w14:textFill>
            <w14:solidFill>
              <w14:schemeClr w14:val="tx1"/>
            </w14:solidFill>
          </w14:textFill>
        </w:rPr>
        <w:t>并加密</w:t>
      </w:r>
      <w:r>
        <w:rPr>
          <w:rFonts w:hint="eastAsia" w:ascii="宋体" w:hAnsi="宋体"/>
          <w:color w:val="000000" w:themeColor="text1"/>
          <w:sz w:val="24"/>
          <w:szCs w:val="24"/>
          <w:highlight w:val="none"/>
          <w14:textFill>
            <w14:solidFill>
              <w14:schemeClr w14:val="tx1"/>
            </w14:solidFill>
          </w14:textFill>
        </w:rPr>
        <w:t>响应文件（使用“CA数字证书”），</w:t>
      </w:r>
      <w:r>
        <w:rPr>
          <w:rFonts w:ascii="宋体" w:hAnsi="宋体"/>
          <w:color w:val="000000" w:themeColor="text1"/>
          <w:sz w:val="24"/>
          <w:szCs w:val="24"/>
          <w:highlight w:val="none"/>
          <w14:textFill>
            <w14:solidFill>
              <w14:schemeClr w14:val="tx1"/>
            </w14:solidFill>
          </w14:textFill>
        </w:rPr>
        <w:t>导出加密的</w:t>
      </w:r>
      <w:r>
        <w:rPr>
          <w:rFonts w:hint="eastAsia" w:ascii="宋体" w:hAnsi="宋体"/>
          <w:color w:val="000000" w:themeColor="text1"/>
          <w:sz w:val="24"/>
          <w:szCs w:val="24"/>
          <w:highlight w:val="none"/>
          <w14:textFill>
            <w14:solidFill>
              <w14:schemeClr w14:val="tx1"/>
            </w14:solidFill>
          </w14:textFill>
        </w:rPr>
        <w:t>响应文件（后缀名为zip，不得超过150M）并在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上传该加密的</w:t>
      </w:r>
      <w:r>
        <w:rPr>
          <w:rFonts w:hint="eastAsia" w:ascii="宋体" w:hAnsi="宋体"/>
          <w:color w:val="000000" w:themeColor="text1"/>
          <w:sz w:val="24"/>
          <w:szCs w:val="24"/>
          <w:highlight w:val="none"/>
          <w14:textFill>
            <w14:solidFill>
              <w14:schemeClr w14:val="tx1"/>
            </w14:solidFill>
          </w14:textFill>
        </w:rPr>
        <w:t>响应文件</w:t>
      </w:r>
      <w:r>
        <w:rPr>
          <w:rFonts w:ascii="宋体" w:hAnsi="宋体"/>
          <w:color w:val="000000" w:themeColor="text1"/>
          <w:sz w:val="24"/>
          <w:szCs w:val="24"/>
          <w:highlight w:val="none"/>
          <w14:textFill>
            <w14:solidFill>
              <w14:schemeClr w14:val="tx1"/>
            </w14:solidFill>
          </w14:textFill>
        </w:rPr>
        <w:t>，对</w:t>
      </w:r>
      <w:r>
        <w:rPr>
          <w:rFonts w:hint="eastAsia" w:ascii="宋体" w:hAnsi="宋体"/>
          <w:color w:val="000000" w:themeColor="text1"/>
          <w:sz w:val="24"/>
          <w:szCs w:val="24"/>
          <w:highlight w:val="none"/>
          <w14:textFill>
            <w14:solidFill>
              <w14:schemeClr w14:val="tx1"/>
            </w14:solidFill>
          </w14:textFill>
        </w:rPr>
        <w:t>磋商文件</w:t>
      </w:r>
      <w:r>
        <w:rPr>
          <w:rFonts w:ascii="宋体" w:hAnsi="宋体"/>
          <w:color w:val="000000" w:themeColor="text1"/>
          <w:sz w:val="24"/>
          <w:szCs w:val="24"/>
          <w:highlight w:val="none"/>
          <w14:textFill>
            <w14:solidFill>
              <w14:schemeClr w14:val="tx1"/>
            </w14:solidFill>
          </w14:textFill>
        </w:rPr>
        <w:t>各项内容做出实质性响应，否则其</w:t>
      </w:r>
      <w:r>
        <w:rPr>
          <w:rFonts w:hint="eastAsia" w:ascii="宋体" w:hAnsi="宋体"/>
          <w:color w:val="000000" w:themeColor="text1"/>
          <w:sz w:val="24"/>
          <w:szCs w:val="24"/>
          <w:highlight w:val="none"/>
          <w14:textFill>
            <w14:solidFill>
              <w14:schemeClr w14:val="tx1"/>
            </w14:solidFill>
          </w14:textFill>
        </w:rPr>
        <w:t>响应文件</w:t>
      </w:r>
      <w:r>
        <w:rPr>
          <w:rFonts w:ascii="宋体" w:hAnsi="宋体"/>
          <w:color w:val="000000" w:themeColor="text1"/>
          <w:sz w:val="24"/>
          <w:szCs w:val="24"/>
          <w:highlight w:val="none"/>
          <w14:textFill>
            <w14:solidFill>
              <w14:schemeClr w14:val="tx1"/>
            </w14:solidFill>
          </w14:textFill>
        </w:rPr>
        <w:t>无效。</w:t>
      </w:r>
    </w:p>
    <w:p w14:paraId="75820BEB">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（三）有关本次采购的事项若存在变动或修改，敬请及时关注江苏信中天工程咨询有限公司在“无锡政府采购网”“江苏政府采购网”发布的更正公告。</w:t>
      </w:r>
    </w:p>
    <w:p w14:paraId="5183E537">
      <w:pPr>
        <w:tabs>
          <w:tab w:val="left" w:pos="900"/>
        </w:tabs>
        <w:spacing w:line="500" w:lineRule="exact"/>
        <w:ind w:firstLine="480"/>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（四）本次采购不收取投标保证金。</w:t>
      </w:r>
      <w:r>
        <w:rPr>
          <w:color w:val="000000" w:themeColor="text1"/>
          <w:highlight w:val="none"/>
          <w14:textFill>
            <w14:solidFill>
              <w14:schemeClr w14:val="tx1"/>
            </w14:solidFill>
          </w14:textFill>
        </w:rPr>
        <w:br w:type="page" w:clear="all"/>
      </w:r>
    </w:p>
    <w:p w14:paraId="5C7648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二、</w:t>
      </w:r>
      <w:r>
        <w:rPr>
          <w:rFonts w:ascii="宋体" w:hAnsi="宋体" w:eastAsia="宋体" w:cs="宋体"/>
          <w:b/>
          <w:color w:val="000000" w:themeColor="text1"/>
          <w:sz w:val="32"/>
          <w:highlight w:val="none"/>
          <w14:textFill>
            <w14:solidFill>
              <w14:schemeClr w14:val="tx1"/>
            </w14:solidFill>
          </w14:textFill>
        </w:rPr>
        <w:t>供应商须知</w:t>
      </w:r>
    </w:p>
    <w:p w14:paraId="422E28D7">
      <w:pPr>
        <w:pStyle w:val="4"/>
        <w:keepNext w:val="0"/>
        <w:keepLines w:val="0"/>
        <w:spacing w:before="0" w:after="0" w:line="500" w:lineRule="exact"/>
        <w:rPr>
          <w:color w:val="000000" w:themeColor="text1"/>
          <w:sz w:val="30"/>
          <w:szCs w:val="30"/>
          <w:highlight w:val="none"/>
          <w14:textFill>
            <w14:solidFill>
              <w14:schemeClr w14:val="tx1"/>
            </w14:solidFill>
          </w14:textFill>
        </w:rPr>
      </w:pPr>
      <w:bookmarkStart w:id="37" w:name="_Toc16938519"/>
      <w:bookmarkStart w:id="38" w:name="_Toc513029203"/>
      <w:bookmarkStart w:id="39" w:name="_Toc20823275"/>
      <w:bookmarkStart w:id="40" w:name="_Toc120614214"/>
      <w:r>
        <w:rPr>
          <w:rFonts w:hint="eastAsia"/>
          <w:color w:val="000000" w:themeColor="text1"/>
          <w:sz w:val="30"/>
          <w:szCs w:val="30"/>
          <w:highlight w:val="none"/>
          <w14:textFill>
            <w14:solidFill>
              <w14:schemeClr w14:val="tx1"/>
            </w14:solidFill>
          </w14:textFill>
        </w:rPr>
        <w:t>一、总则</w:t>
      </w:r>
      <w:bookmarkEnd w:id="37"/>
      <w:bookmarkEnd w:id="38"/>
      <w:bookmarkEnd w:id="39"/>
      <w:bookmarkEnd w:id="40"/>
    </w:p>
    <w:p w14:paraId="0647A148">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41" w:name="_Hlt16619475"/>
      <w:bookmarkEnd w:id="41"/>
      <w:bookmarkStart w:id="42" w:name="_Toc20823276"/>
      <w:bookmarkStart w:id="43" w:name="_Toc16938520"/>
      <w:bookmarkStart w:id="44" w:name="_Toc513029204"/>
      <w:r>
        <w:rPr>
          <w:rFonts w:hint="eastAsia" w:ascii="宋体" w:hAnsi="宋体" w:eastAsia="宋体"/>
          <w:bCs w:val="0"/>
          <w:color w:val="000000" w:themeColor="text1"/>
          <w:highlight w:val="none"/>
          <w14:textFill>
            <w14:solidFill>
              <w14:schemeClr w14:val="tx1"/>
            </w14:solidFill>
          </w14:textFill>
        </w:rPr>
        <w:t>1.招标方式</w:t>
      </w:r>
      <w:bookmarkEnd w:id="42"/>
      <w:bookmarkEnd w:id="43"/>
      <w:bookmarkEnd w:id="44"/>
    </w:p>
    <w:p w14:paraId="3128B221">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1.1本次招标采取竞争性磋商方式，本磋商文件仅适用于磋商公告中所述项目。</w:t>
      </w:r>
    </w:p>
    <w:p w14:paraId="1A141DB5">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45" w:name="_Toc20823277"/>
      <w:bookmarkStart w:id="46" w:name="_Toc16938521"/>
      <w:bookmarkStart w:id="47" w:name="_Toc513029205"/>
      <w:r>
        <w:rPr>
          <w:rFonts w:hint="eastAsia" w:ascii="宋体" w:hAnsi="宋体" w:eastAsia="宋体"/>
          <w:bCs w:val="0"/>
          <w:color w:val="000000" w:themeColor="text1"/>
          <w:highlight w:val="none"/>
          <w14:textFill>
            <w14:solidFill>
              <w14:schemeClr w14:val="tx1"/>
            </w14:solidFill>
          </w14:textFill>
        </w:rPr>
        <w:t>2.</w:t>
      </w:r>
      <w:bookmarkEnd w:id="45"/>
      <w:bookmarkEnd w:id="46"/>
      <w:bookmarkEnd w:id="47"/>
      <w:r>
        <w:rPr>
          <w:rFonts w:hint="eastAsia" w:ascii="宋体" w:hAnsi="宋体" w:eastAsia="宋体"/>
          <w:bCs w:val="0"/>
          <w:color w:val="000000" w:themeColor="text1"/>
          <w:highlight w:val="none"/>
          <w14:textFill>
            <w14:solidFill>
              <w14:schemeClr w14:val="tx1"/>
            </w14:solidFill>
          </w14:textFill>
        </w:rPr>
        <w:t>采购人、采购代理机构、供应商、联合体</w:t>
      </w:r>
    </w:p>
    <w:p w14:paraId="47D2F217">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150BD5BC">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2.2投标人（也称“供应商”“申请人”）：是指响应招标、参加投标竞争的法人、其他组织或者自然人。合格的供应商应满足磋商公告中供应商的资格要求以及本文件实质性要求和条件的规定。</w:t>
      </w:r>
    </w:p>
    <w:p w14:paraId="1F9B37F6">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7AFE8B03">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48" w:name="_Toc16938522"/>
      <w:bookmarkStart w:id="49" w:name="_Toc513029206"/>
      <w:bookmarkStart w:id="50" w:name="_Toc20823278"/>
      <w:r>
        <w:rPr>
          <w:rFonts w:hint="eastAsia" w:ascii="宋体" w:hAnsi="宋体" w:eastAsia="宋体"/>
          <w:bCs w:val="0"/>
          <w:color w:val="000000" w:themeColor="text1"/>
          <w:highlight w:val="none"/>
          <w14:textFill>
            <w14:solidFill>
              <w14:schemeClr w14:val="tx1"/>
            </w14:solidFill>
          </w14:textFill>
        </w:rPr>
        <w:t>3.适用法律</w:t>
      </w:r>
      <w:bookmarkEnd w:id="48"/>
      <w:bookmarkEnd w:id="49"/>
      <w:bookmarkEnd w:id="50"/>
    </w:p>
    <w:p w14:paraId="701F1461">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3.1本次磋商及由此产生的合同受中华人民共和国法律的制约和保护。</w:t>
      </w:r>
    </w:p>
    <w:p w14:paraId="78D69E95">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51" w:name="_Toc16938523"/>
      <w:bookmarkStart w:id="52" w:name="_Toc462564067"/>
      <w:bookmarkStart w:id="53" w:name="_Toc513029207"/>
      <w:bookmarkStart w:id="54" w:name="_Toc20823279"/>
      <w:r>
        <w:rPr>
          <w:rFonts w:hint="eastAsia" w:ascii="宋体" w:hAnsi="宋体" w:eastAsia="宋体"/>
          <w:bCs w:val="0"/>
          <w:color w:val="000000" w:themeColor="text1"/>
          <w:highlight w:val="none"/>
          <w14:textFill>
            <w14:solidFill>
              <w14:schemeClr w14:val="tx1"/>
            </w14:solidFill>
          </w14:textFill>
        </w:rPr>
        <w:t>4.投标费用</w:t>
      </w:r>
      <w:bookmarkEnd w:id="51"/>
      <w:bookmarkEnd w:id="52"/>
      <w:bookmarkEnd w:id="53"/>
      <w:bookmarkEnd w:id="54"/>
    </w:p>
    <w:p w14:paraId="3F3B2636">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4.1成交供应商在领取成交通知书时向代理机构支付采购代理服务费。采购代理服务费以中标金额为计费基础，按差额定率累进法计算，</w:t>
      </w:r>
      <w:r>
        <w:rPr>
          <w:rFonts w:hint="eastAsia" w:ascii="宋体" w:hAnsi="宋体"/>
          <w:b/>
          <w:bCs w:val="0"/>
          <w:color w:val="000000" w:themeColor="text1"/>
          <w:sz w:val="24"/>
          <w:highlight w:val="none"/>
          <w:u w:val="single"/>
          <w14:textFill>
            <w14:solidFill>
              <w14:schemeClr w14:val="tx1"/>
            </w14:solidFill>
          </w14:textFill>
        </w:rPr>
        <w:t>代理费计费费率：100万元及以下的费率为1.0%*</w:t>
      </w:r>
      <w:r>
        <w:rPr>
          <w:rFonts w:hint="eastAsia" w:ascii="宋体" w:hAnsi="宋体" w:cs="宋体"/>
          <w:b/>
          <w:color w:val="000000" w:themeColor="text1"/>
          <w:sz w:val="24"/>
          <w:highlight w:val="none"/>
          <w:u w:val="single"/>
          <w14:textFill>
            <w14:solidFill>
              <w14:schemeClr w14:val="tx1"/>
            </w14:solidFill>
          </w14:textFill>
        </w:rPr>
        <w:t>52.67%</w:t>
      </w:r>
      <w:r>
        <w:rPr>
          <w:rFonts w:hint="eastAsia" w:ascii="宋体" w:hAnsi="宋体"/>
          <w:b/>
          <w:bCs w:val="0"/>
          <w:color w:val="000000" w:themeColor="text1"/>
          <w:sz w:val="24"/>
          <w:highlight w:val="none"/>
          <w:u w:val="single"/>
          <w14:textFill>
            <w14:solidFill>
              <w14:schemeClr w14:val="tx1"/>
            </w14:solidFill>
          </w14:textFill>
        </w:rPr>
        <w:t>，100万元-500万元费率为0.7%*</w:t>
      </w:r>
      <w:r>
        <w:rPr>
          <w:rFonts w:hint="eastAsia" w:ascii="宋体" w:hAnsi="宋体" w:cs="宋体"/>
          <w:b/>
          <w:color w:val="000000" w:themeColor="text1"/>
          <w:sz w:val="24"/>
          <w:highlight w:val="none"/>
          <w:u w:val="single"/>
          <w14:textFill>
            <w14:solidFill>
              <w14:schemeClr w14:val="tx1"/>
            </w14:solidFill>
          </w14:textFill>
        </w:rPr>
        <w:t>52.67%</w:t>
      </w:r>
      <w:r>
        <w:rPr>
          <w:rFonts w:hint="eastAsia" w:ascii="宋体" w:hAnsi="宋体"/>
          <w:b/>
          <w:bCs w:val="0"/>
          <w:color w:val="000000" w:themeColor="text1"/>
          <w:sz w:val="24"/>
          <w:highlight w:val="none"/>
          <w:u w:val="single"/>
          <w14:textFill>
            <w14:solidFill>
              <w14:schemeClr w14:val="tx1"/>
            </w14:solidFill>
          </w14:textFill>
        </w:rPr>
        <w:t>。</w:t>
      </w:r>
    </w:p>
    <w:p w14:paraId="0D6387CC">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4.2供应商应自行承担所有与参加投标有关的费用，无论磋商过程中的做法和结果如何，江苏信中天工程咨询有限公司（以下简称代理机构）在任何情况下均无义务和责任承担这些费用。</w:t>
      </w:r>
    </w:p>
    <w:p w14:paraId="2A1A87C3">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5.磋商文件的约束力</w:t>
      </w:r>
    </w:p>
    <w:p w14:paraId="790C265C">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14:textFill>
            <w14:solidFill>
              <w14:schemeClr w14:val="tx1"/>
            </w14:solidFill>
          </w14:textFill>
        </w:rPr>
        <w:t>供应商一旦参加本项目采购活动，即被认为接受了本磋商文件的规定和约束。</w:t>
      </w:r>
    </w:p>
    <w:p w14:paraId="5BB6AF75">
      <w:pPr>
        <w:pStyle w:val="4"/>
        <w:keepNext w:val="0"/>
        <w:keepLines w:val="0"/>
        <w:spacing w:before="0" w:after="0" w:line="500" w:lineRule="exact"/>
        <w:rPr>
          <w:color w:val="000000" w:themeColor="text1"/>
          <w:sz w:val="30"/>
          <w:szCs w:val="30"/>
          <w:highlight w:val="none"/>
          <w14:textFill>
            <w14:solidFill>
              <w14:schemeClr w14:val="tx1"/>
            </w14:solidFill>
          </w14:textFill>
        </w:rPr>
      </w:pPr>
      <w:bookmarkStart w:id="55" w:name="_Toc20823281"/>
      <w:bookmarkStart w:id="56" w:name="_Toc513029209"/>
      <w:bookmarkStart w:id="57" w:name="_Toc16938525"/>
      <w:bookmarkStart w:id="58" w:name="_Toc120614215"/>
      <w:r>
        <w:rPr>
          <w:rFonts w:hint="eastAsia"/>
          <w:color w:val="000000" w:themeColor="text1"/>
          <w:sz w:val="30"/>
          <w:szCs w:val="30"/>
          <w:highlight w:val="none"/>
          <w14:textFill>
            <w14:solidFill>
              <w14:schemeClr w14:val="tx1"/>
            </w14:solidFill>
          </w14:textFill>
        </w:rPr>
        <w:t>二、磋商文件</w:t>
      </w:r>
      <w:bookmarkEnd w:id="55"/>
      <w:bookmarkEnd w:id="56"/>
      <w:bookmarkEnd w:id="57"/>
      <w:bookmarkEnd w:id="58"/>
    </w:p>
    <w:p w14:paraId="5AB3310E">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59" w:name="_Toc16938526"/>
      <w:bookmarkStart w:id="60" w:name="_Toc20823282"/>
      <w:bookmarkStart w:id="61" w:name="_Toc513029210"/>
      <w:r>
        <w:rPr>
          <w:rFonts w:hint="eastAsia" w:ascii="宋体" w:hAnsi="宋体" w:eastAsia="宋体"/>
          <w:bCs w:val="0"/>
          <w:color w:val="000000" w:themeColor="text1"/>
          <w:highlight w:val="none"/>
          <w14:textFill>
            <w14:solidFill>
              <w14:schemeClr w14:val="tx1"/>
            </w14:solidFill>
          </w14:textFill>
        </w:rPr>
        <w:t>6.磋商文件构成</w:t>
      </w:r>
      <w:bookmarkEnd w:id="59"/>
      <w:bookmarkEnd w:id="60"/>
      <w:bookmarkEnd w:id="61"/>
    </w:p>
    <w:p w14:paraId="562612A9">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磋商文件由以下部分组成：</w:t>
      </w:r>
    </w:p>
    <w:p w14:paraId="79A2B147">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磋商</w:t>
      </w:r>
      <w:r>
        <w:rPr>
          <w:rFonts w:ascii="宋体" w:hAnsi="宋体"/>
          <w:color w:val="000000" w:themeColor="text1"/>
          <w:sz w:val="24"/>
          <w:szCs w:val="24"/>
          <w:highlight w:val="none"/>
          <w14:textFill>
            <w14:solidFill>
              <w14:schemeClr w14:val="tx1"/>
            </w14:solidFill>
          </w14:textFill>
        </w:rPr>
        <w:t>邀请</w:t>
      </w:r>
    </w:p>
    <w:p w14:paraId="4DFD8A86">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（2）供应商须知</w:t>
      </w:r>
    </w:p>
    <w:p w14:paraId="6764052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45E7E5EB">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（4）采购需求</w:t>
      </w:r>
    </w:p>
    <w:p w14:paraId="5CCE0DDF">
      <w:pPr>
        <w:spacing w:line="500" w:lineRule="exact"/>
        <w:ind w:firstLine="48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0E1228A5">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（6）响应文件内容与格式</w:t>
      </w:r>
    </w:p>
    <w:p w14:paraId="06AFD63F">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请仔细检查磋商文件是否齐全，如有缺漏请立即与代理机构联系解决。</w:t>
      </w:r>
    </w:p>
    <w:p w14:paraId="2353BA66">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应认真阅读磋商文件中所有的事项、格式、条款和规范等要求。按磋商文件要求和规定编制响应文件，并保证所提供的全部资料的真实性，以使其响应文件对磋商文件作出实质性响应，否则其风险由</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自行承担。</w:t>
      </w:r>
    </w:p>
    <w:p w14:paraId="3FD537A4">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62" w:name="_Toc20823283"/>
      <w:bookmarkStart w:id="63" w:name="_Toc16938527"/>
      <w:bookmarkStart w:id="64" w:name="_Toc513029211"/>
      <w:bookmarkStart w:id="65" w:name="_Toc462564070"/>
      <w:r>
        <w:rPr>
          <w:rFonts w:hint="eastAsia" w:ascii="宋体" w:hAnsi="宋体" w:eastAsia="宋体"/>
          <w:bCs w:val="0"/>
          <w:color w:val="000000" w:themeColor="text1"/>
          <w:highlight w:val="none"/>
          <w14:textFill>
            <w14:solidFill>
              <w14:schemeClr w14:val="tx1"/>
            </w14:solidFill>
          </w14:textFill>
        </w:rPr>
        <w:t>7.磋商文件的澄清</w:t>
      </w:r>
      <w:bookmarkEnd w:id="62"/>
      <w:bookmarkEnd w:id="63"/>
      <w:bookmarkEnd w:id="64"/>
      <w:bookmarkEnd w:id="65"/>
    </w:p>
    <w:p w14:paraId="1816090F">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7.1本项目不召开磋商前答疑会，</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bCs/>
          <w:color w:val="000000" w:themeColor="text1"/>
          <w:sz w:val="24"/>
          <w:highlight w:val="none"/>
          <w14:textFill>
            <w14:solidFill>
              <w14:schemeClr w14:val="tx1"/>
            </w14:solidFill>
          </w14:textFill>
        </w:rPr>
        <w:t>如有需要对磋商文件要求澄清的问题，应在磋商截止期至少五日前按磋商公告或磋商文件中的通讯地址，参照本章下述28.4条款的规定向采购人或代理机构以书面形式提出。</w:t>
      </w:r>
    </w:p>
    <w:p w14:paraId="46DC5879">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66" w:name="_Toc513029212"/>
      <w:bookmarkStart w:id="67" w:name="_Toc16938528"/>
      <w:bookmarkStart w:id="68" w:name="_Toc20823284"/>
      <w:bookmarkStart w:id="69" w:name="_Toc462564071"/>
      <w:r>
        <w:rPr>
          <w:rFonts w:hint="eastAsia" w:ascii="宋体" w:hAnsi="宋体" w:eastAsia="宋体"/>
          <w:bCs w:val="0"/>
          <w:color w:val="000000" w:themeColor="text1"/>
          <w:highlight w:val="none"/>
          <w14:textFill>
            <w14:solidFill>
              <w14:schemeClr w14:val="tx1"/>
            </w14:solidFill>
          </w14:textFill>
        </w:rPr>
        <w:t>8.磋商文件的修改</w:t>
      </w:r>
      <w:bookmarkEnd w:id="66"/>
      <w:bookmarkEnd w:id="67"/>
      <w:bookmarkEnd w:id="68"/>
      <w:bookmarkEnd w:id="69"/>
    </w:p>
    <w:p w14:paraId="56B324D8">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8.1代理机构可在</w:t>
      </w:r>
      <w:r>
        <w:rPr>
          <w:rFonts w:hint="eastAsia" w:ascii="宋体" w:hAnsi="宋体"/>
          <w:bCs/>
          <w:color w:val="000000" w:themeColor="text1"/>
          <w:sz w:val="24"/>
          <w:highlight w:val="none"/>
          <w14:textFill>
            <w14:solidFill>
              <w14:schemeClr w14:val="tx1"/>
            </w14:solidFill>
          </w14:textFill>
        </w:rPr>
        <w:t>磋商截止</w:t>
      </w:r>
      <w:r>
        <w:rPr>
          <w:rFonts w:hint="eastAsia" w:ascii="宋体" w:hAnsi="宋体"/>
          <w:bCs/>
          <w:color w:val="000000" w:themeColor="text1"/>
          <w:sz w:val="24"/>
          <w:szCs w:val="24"/>
          <w:highlight w:val="none"/>
          <w14:textFill>
            <w14:solidFill>
              <w14:schemeClr w14:val="tx1"/>
            </w14:solidFill>
          </w14:textFill>
        </w:rPr>
        <w:t>时间五日前对磋商文件进行必要的澄清或者修改，不足五日的，将顺延提交响应文件的截止时间和开标日期。</w:t>
      </w:r>
    </w:p>
    <w:p w14:paraId="0D3370ED">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w:t>
      </w:r>
      <w:r>
        <w:rPr>
          <w:rFonts w:hint="eastAsia" w:ascii="宋体" w:hAnsi="宋体"/>
          <w:bCs/>
          <w:color w:val="000000" w:themeColor="text1"/>
          <w:sz w:val="24"/>
          <w:szCs w:val="24"/>
          <w:highlight w:val="none"/>
          <w14:textFill>
            <w14:solidFill>
              <w14:schemeClr w14:val="tx1"/>
            </w14:solidFill>
          </w14:textFill>
        </w:rPr>
        <w:t>如需对磋商文件进行澄清或修改，代理机构将在无锡政府采购网、江苏政府采购网发布更正公告，澄清或修改的内容为磋商文件的组成部分，并对</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bCs/>
          <w:color w:val="000000" w:themeColor="text1"/>
          <w:sz w:val="24"/>
          <w:szCs w:val="24"/>
          <w:highlight w:val="none"/>
          <w14:textFill>
            <w14:solidFill>
              <w14:schemeClr w14:val="tx1"/>
            </w14:solidFill>
          </w14:textFill>
        </w:rPr>
        <w:t>具有约束力。</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bCs/>
          <w:color w:val="000000" w:themeColor="text1"/>
          <w:sz w:val="24"/>
          <w:szCs w:val="24"/>
          <w:highlight w:val="none"/>
          <w14:textFill>
            <w14:solidFill>
              <w14:schemeClr w14:val="tx1"/>
            </w14:solidFill>
          </w14:textFill>
        </w:rPr>
        <w:t>应在投标截止时间前</w:t>
      </w:r>
      <w:r>
        <w:rPr>
          <w:rFonts w:hint="eastAsia" w:ascii="宋体" w:hAnsi="宋体"/>
          <w:color w:val="000000" w:themeColor="text1"/>
          <w:sz w:val="24"/>
          <w:szCs w:val="24"/>
          <w:highlight w:val="none"/>
          <w14:textFill>
            <w14:solidFill>
              <w14:schemeClr w14:val="tx1"/>
            </w14:solidFill>
          </w14:textFill>
        </w:rPr>
        <w:t>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关注原磋商公告媒体上发布的更正公告</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因</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bCs/>
          <w:color w:val="000000" w:themeColor="text1"/>
          <w:sz w:val="24"/>
          <w:szCs w:val="24"/>
          <w:highlight w:val="none"/>
          <w14:textFill>
            <w14:solidFill>
              <w14:schemeClr w14:val="tx1"/>
            </w14:solidFill>
          </w14:textFill>
        </w:rPr>
        <w:t>未尽注意义务，未及时更新上传响应文件</w:t>
      </w:r>
      <w:r>
        <w:rPr>
          <w:rFonts w:hint="eastAsia" w:ascii="宋体" w:hAnsi="宋体"/>
          <w:color w:val="000000" w:themeColor="text1"/>
          <w:sz w:val="24"/>
          <w:szCs w:val="24"/>
          <w:highlight w:val="none"/>
          <w14:textFill>
            <w14:solidFill>
              <w14:schemeClr w14:val="tx1"/>
            </w14:solidFill>
          </w14:textFill>
        </w:rPr>
        <w:t>或未</w:t>
      </w:r>
      <w:r>
        <w:rPr>
          <w:rFonts w:hint="eastAsia" w:ascii="宋体" w:hAnsi="宋体"/>
          <w:color w:val="000000" w:themeColor="text1"/>
          <w:sz w:val="24"/>
          <w:szCs w:val="24"/>
          <w:highlight w:val="none"/>
          <w:lang w:eastAsia="zh-CN"/>
          <w14:textFill>
            <w14:solidFill>
              <w14:schemeClr w14:val="tx1"/>
            </w14:solidFill>
          </w14:textFill>
        </w:rPr>
        <w:t>全面</w:t>
      </w:r>
      <w:r>
        <w:rPr>
          <w:rFonts w:hint="eastAsia" w:ascii="宋体" w:hAnsi="宋体"/>
          <w:bCs/>
          <w:color w:val="000000" w:themeColor="text1"/>
          <w:sz w:val="24"/>
          <w:szCs w:val="24"/>
          <w:highlight w:val="none"/>
          <w14:textFill>
            <w14:solidFill>
              <w14:schemeClr w14:val="tx1"/>
            </w14:solidFill>
          </w14:textFill>
        </w:rPr>
        <w:t>关注更正公告导致其提交的投标材料不符合本项目相关招标要求，而造成的损失及风险（包括但不限于未中标）由</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bCs/>
          <w:color w:val="000000" w:themeColor="text1"/>
          <w:sz w:val="24"/>
          <w:szCs w:val="24"/>
          <w:highlight w:val="none"/>
          <w14:textFill>
            <w14:solidFill>
              <w14:schemeClr w14:val="tx1"/>
            </w14:solidFill>
          </w14:textFill>
        </w:rPr>
        <w:t>自行承担。</w:t>
      </w:r>
    </w:p>
    <w:p w14:paraId="0A1F67E5">
      <w:pPr>
        <w:pStyle w:val="4"/>
        <w:keepNext w:val="0"/>
        <w:keepLines w:val="0"/>
        <w:spacing w:before="0" w:after="0" w:line="500" w:lineRule="exact"/>
        <w:rPr>
          <w:color w:val="000000" w:themeColor="text1"/>
          <w:sz w:val="30"/>
          <w:szCs w:val="30"/>
          <w:highlight w:val="none"/>
          <w14:textFill>
            <w14:solidFill>
              <w14:schemeClr w14:val="tx1"/>
            </w14:solidFill>
          </w14:textFill>
        </w:rPr>
      </w:pPr>
      <w:bookmarkStart w:id="70" w:name="_Toc120614216"/>
      <w:bookmarkStart w:id="71" w:name="_Toc462564072"/>
      <w:bookmarkStart w:id="72" w:name="_Toc16938529"/>
      <w:bookmarkStart w:id="73" w:name="_Toc20823285"/>
      <w:bookmarkStart w:id="74" w:name="_Toc513029213"/>
      <w:r>
        <w:rPr>
          <w:rFonts w:hint="eastAsia"/>
          <w:color w:val="000000" w:themeColor="text1"/>
          <w:sz w:val="30"/>
          <w:szCs w:val="30"/>
          <w:highlight w:val="none"/>
          <w14:textFill>
            <w14:solidFill>
              <w14:schemeClr w14:val="tx1"/>
            </w14:solidFill>
          </w14:textFill>
        </w:rPr>
        <w:t>三、响应文件的编制</w:t>
      </w:r>
      <w:bookmarkEnd w:id="70"/>
      <w:bookmarkEnd w:id="71"/>
      <w:bookmarkEnd w:id="72"/>
      <w:bookmarkEnd w:id="73"/>
      <w:bookmarkEnd w:id="74"/>
    </w:p>
    <w:p w14:paraId="448AD628">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75" w:name="_Toc20823286"/>
      <w:bookmarkStart w:id="76" w:name="_Toc513029214"/>
      <w:bookmarkStart w:id="77" w:name="_Toc16938530"/>
      <w:bookmarkStart w:id="78" w:name="_Toc462564073"/>
      <w:r>
        <w:rPr>
          <w:rFonts w:hint="eastAsia" w:ascii="宋体" w:hAnsi="宋体" w:eastAsia="宋体"/>
          <w:bCs w:val="0"/>
          <w:color w:val="000000" w:themeColor="text1"/>
          <w:highlight w:val="none"/>
          <w14:textFill>
            <w14:solidFill>
              <w14:schemeClr w14:val="tx1"/>
            </w14:solidFill>
          </w14:textFill>
        </w:rPr>
        <w:t>9.响应文件的语言及度量衡单位</w:t>
      </w:r>
      <w:bookmarkEnd w:id="75"/>
      <w:bookmarkEnd w:id="76"/>
      <w:bookmarkEnd w:id="77"/>
      <w:bookmarkEnd w:id="78"/>
    </w:p>
    <w:p w14:paraId="2947DC3B">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提交的响应文件以及</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与代理机构就有关投标的所有来往通知、函件和文件均应使用</w:t>
      </w:r>
      <w:r>
        <w:rPr>
          <w:rFonts w:hint="eastAsia" w:ascii="宋体" w:hAnsi="宋体"/>
          <w:bCs/>
          <w:color w:val="000000" w:themeColor="text1"/>
          <w:sz w:val="24"/>
          <w:highlight w:val="none"/>
          <w14:textFill>
            <w14:solidFill>
              <w14:schemeClr w14:val="tx1"/>
            </w14:solidFill>
          </w14:textFill>
        </w:rPr>
        <w:t>简体中文</w:t>
      </w:r>
      <w:r>
        <w:rPr>
          <w:rFonts w:hint="eastAsia" w:ascii="宋体" w:hAnsi="宋体"/>
          <w:bCs/>
          <w:color w:val="000000" w:themeColor="text1"/>
          <w:sz w:val="24"/>
          <w:szCs w:val="24"/>
          <w:highlight w:val="none"/>
          <w14:textFill>
            <w14:solidFill>
              <w14:schemeClr w14:val="tx1"/>
            </w14:solidFill>
          </w14:textFill>
        </w:rPr>
        <w:t>（规格、型号辅助符号例外）</w:t>
      </w:r>
      <w:r>
        <w:rPr>
          <w:rFonts w:hint="eastAsia" w:ascii="宋体" w:hAnsi="宋体"/>
          <w:color w:val="000000" w:themeColor="text1"/>
          <w:sz w:val="24"/>
          <w:highlight w:val="none"/>
          <w14:textFill>
            <w14:solidFill>
              <w14:schemeClr w14:val="tx1"/>
            </w14:solidFill>
          </w14:textFill>
        </w:rPr>
        <w:t>。</w:t>
      </w:r>
    </w:p>
    <w:p w14:paraId="456E93FB">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除技术性能另有规定外，响应文件所使用的度量衡单位，均须采用国家法定计量单位。</w:t>
      </w:r>
    </w:p>
    <w:p w14:paraId="50BB4DA0">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79" w:name="_Toc16938531"/>
      <w:bookmarkStart w:id="80" w:name="_Toc20823287"/>
      <w:bookmarkStart w:id="81" w:name="_Toc462564074"/>
      <w:bookmarkStart w:id="82" w:name="_Toc513029215"/>
      <w:r>
        <w:rPr>
          <w:rFonts w:hint="eastAsia" w:ascii="宋体" w:hAnsi="宋体" w:eastAsia="宋体"/>
          <w:bCs w:val="0"/>
          <w:color w:val="000000" w:themeColor="text1"/>
          <w:highlight w:val="none"/>
          <w14:textFill>
            <w14:solidFill>
              <w14:schemeClr w14:val="tx1"/>
            </w14:solidFill>
          </w14:textFill>
        </w:rPr>
        <w:t>10.响应文件构成</w:t>
      </w:r>
      <w:bookmarkEnd w:id="79"/>
      <w:bookmarkEnd w:id="80"/>
      <w:bookmarkEnd w:id="81"/>
      <w:bookmarkEnd w:id="82"/>
    </w:p>
    <w:p w14:paraId="513AD6AC">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w:t>
      </w:r>
      <w:r>
        <w:rPr>
          <w:rFonts w:hint="eastAsia" w:ascii="宋体" w:hAnsi="宋体"/>
          <w:color w:val="000000" w:themeColor="text1"/>
          <w:sz w:val="24"/>
          <w:szCs w:val="24"/>
          <w:highlight w:val="none"/>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编写的响应文件应包括资格证明文件、符合性证明文件（投标函、承诺书、开标一览表、分项报价表、投标偏离表、《采购需求》中如有要求须提供的证明文件等）、其他证明文件（《评标方法与评标标准》中涉及的证明文件、其他供应商认为应附的文件）等内容。</w:t>
      </w:r>
    </w:p>
    <w:p w14:paraId="44C802B2">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10.2供应商所需提供的相关证明文件和要求以及响应文件的部分格式要求，详见第六章《响应文件内容与格式》。</w:t>
      </w:r>
    </w:p>
    <w:p w14:paraId="7E7DC9FA">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10.3如标书制作工具中格式和内容与磋商文件不一致的，请以磋商文件为准。</w:t>
      </w:r>
    </w:p>
    <w:p w14:paraId="055CE8A4">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83" w:name="_Hlt26668975"/>
      <w:bookmarkEnd w:id="83"/>
      <w:bookmarkStart w:id="84" w:name="_Hlt26670360"/>
      <w:bookmarkEnd w:id="84"/>
      <w:bookmarkStart w:id="85" w:name="_Hlt26954838"/>
      <w:bookmarkEnd w:id="85"/>
      <w:bookmarkStart w:id="86" w:name="_Toc513029219"/>
      <w:bookmarkStart w:id="87" w:name="_Toc49090509"/>
      <w:bookmarkStart w:id="88" w:name="_Toc14577357"/>
      <w:bookmarkStart w:id="89" w:name="_Toc513029216"/>
      <w:bookmarkStart w:id="90" w:name="_Toc49090507"/>
      <w:bookmarkStart w:id="91" w:name="_Toc14577354"/>
      <w:r>
        <w:rPr>
          <w:rFonts w:hint="eastAsia" w:ascii="宋体" w:hAnsi="宋体" w:eastAsia="宋体"/>
          <w:bCs w:val="0"/>
          <w:color w:val="000000" w:themeColor="text1"/>
          <w:highlight w:val="none"/>
          <w14:textFill>
            <w14:solidFill>
              <w14:schemeClr w14:val="tx1"/>
            </w14:solidFill>
          </w14:textFill>
        </w:rPr>
        <w:t>11.证明供应商及投标标的符合磋商文件规定的文件</w:t>
      </w:r>
      <w:bookmarkEnd w:id="86"/>
      <w:bookmarkEnd w:id="87"/>
      <w:bookmarkEnd w:id="88"/>
    </w:p>
    <w:bookmarkEnd w:id="89"/>
    <w:bookmarkEnd w:id="90"/>
    <w:bookmarkEnd w:id="91"/>
    <w:p w14:paraId="254195EA">
      <w:pPr>
        <w:spacing w:line="500" w:lineRule="exact"/>
        <w:ind w:firstLine="480"/>
        <w:rPr>
          <w:rFonts w:ascii="宋体" w:hAnsi="宋体"/>
          <w:bCs/>
          <w:color w:val="000000" w:themeColor="text1"/>
          <w:sz w:val="24"/>
          <w:highlight w:val="none"/>
          <w14:textFill>
            <w14:solidFill>
              <w14:schemeClr w14:val="tx1"/>
            </w14:solidFill>
          </w14:textFill>
        </w:rPr>
      </w:pPr>
      <w:bookmarkStart w:id="92" w:name="_Toc14577355"/>
      <w:bookmarkStart w:id="93" w:name="_Toc49090508"/>
      <w:r>
        <w:rPr>
          <w:rFonts w:hint="eastAsia" w:ascii="宋体" w:hAnsi="宋体"/>
          <w:bCs/>
          <w:color w:val="000000" w:themeColor="text1"/>
          <w:sz w:val="24"/>
          <w:highlight w:val="none"/>
          <w14:textFill>
            <w14:solidFill>
              <w14:schemeClr w14:val="tx1"/>
            </w14:solidFill>
          </w14:textFill>
        </w:rPr>
        <w:t>11.1供应商应按照法律法规、规章和规范性文件以及磋商文件要求提交证明文件，证明其及投标标的符合磋商文件规定。</w:t>
      </w:r>
    </w:p>
    <w:p w14:paraId="54F417B3">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11.2磋商文件对证明文件无明确形式要求的，证明文件可以以文字资料、图纸和数据等形式提交。</w:t>
      </w:r>
    </w:p>
    <w:p w14:paraId="40559D5C">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94" w:name="_Toc14577359"/>
      <w:bookmarkStart w:id="95" w:name="_Toc49090510"/>
      <w:r>
        <w:rPr>
          <w:rFonts w:hint="eastAsia" w:ascii="宋体" w:hAnsi="宋体" w:eastAsia="宋体"/>
          <w:bCs w:val="0"/>
          <w:color w:val="000000" w:themeColor="text1"/>
          <w:highlight w:val="none"/>
          <w14:textFill>
            <w14:solidFill>
              <w14:schemeClr w14:val="tx1"/>
            </w14:solidFill>
          </w14:textFill>
        </w:rPr>
        <w:t>12.投标函、承诺书和开标一览表</w:t>
      </w:r>
    </w:p>
    <w:p w14:paraId="7FC4FEB3">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14:textFill>
            <w14:solidFill>
              <w14:schemeClr w14:val="tx1"/>
            </w14:solidFill>
          </w14:textFill>
        </w:rPr>
        <w:t>供应商应按照磋商文件中提供的格式，完整、正确填写投标函、承诺书；供应商应按照“苏采云”系统中的给定格式模块为准，完整、正确填写开标一览表。</w:t>
      </w:r>
    </w:p>
    <w:p w14:paraId="71D79EEF">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p>
    <w:bookmarkEnd w:id="94"/>
    <w:bookmarkEnd w:id="95"/>
    <w:p w14:paraId="0317ED79">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13.</w:t>
      </w:r>
      <w:bookmarkEnd w:id="92"/>
      <w:bookmarkEnd w:id="93"/>
      <w:r>
        <w:rPr>
          <w:rFonts w:hint="eastAsia" w:ascii="宋体" w:hAnsi="宋体" w:eastAsia="宋体"/>
          <w:bCs w:val="0"/>
          <w:color w:val="000000" w:themeColor="text1"/>
          <w:highlight w:val="none"/>
          <w14:textFill>
            <w14:solidFill>
              <w14:schemeClr w14:val="tx1"/>
            </w14:solidFill>
          </w14:textFill>
        </w:rPr>
        <w:t>分项报价表</w:t>
      </w:r>
    </w:p>
    <w:p w14:paraId="6ACF53EF">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w:t>
      </w:r>
      <w:r>
        <w:rPr>
          <w:rFonts w:hint="eastAsia" w:ascii="宋体" w:hAnsi="宋体"/>
          <w:color w:val="000000" w:themeColor="text1"/>
          <w:sz w:val="24"/>
          <w:highlight w:val="none"/>
          <w14:textFill>
            <w14:solidFill>
              <w14:schemeClr w14:val="tx1"/>
            </w14:solidFill>
          </w14:textFill>
        </w:rPr>
        <w:t>供应商应按照磋商文件规定格式填报</w:t>
      </w:r>
      <w:bookmarkStart w:id="96" w:name="_Hlt26670399"/>
      <w:bookmarkEnd w:id="96"/>
      <w:r>
        <w:rPr>
          <w:rFonts w:hint="eastAsia" w:ascii="宋体" w:hAnsi="宋体"/>
          <w:color w:val="000000" w:themeColor="text1"/>
          <w:sz w:val="24"/>
          <w:highlight w:val="none"/>
          <w14:textFill>
            <w14:solidFill>
              <w14:schemeClr w14:val="tx1"/>
            </w14:solidFill>
          </w14:textFill>
        </w:rPr>
        <w:t>分项报价表。</w:t>
      </w:r>
    </w:p>
    <w:p w14:paraId="60B5BF0D">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w:t>
      </w:r>
      <w:r>
        <w:rPr>
          <w:rFonts w:hint="eastAsia" w:ascii="宋体" w:hAnsi="宋体"/>
          <w:bCs/>
          <w:color w:val="000000" w:themeColor="text1"/>
          <w:sz w:val="24"/>
          <w:highlight w:val="none"/>
          <w14:textFill>
            <w14:solidFill>
              <w14:schemeClr w14:val="tx1"/>
            </w14:solidFill>
          </w14:textFill>
        </w:rPr>
        <w:t>投标货币。响应文件中的单价和总价无特殊规定的采用人民币报价，以“元”为单位标注。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磋商文件中另有规定的按规定执行。</w:t>
      </w:r>
    </w:p>
    <w:p w14:paraId="242071AE">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97" w:name="_Hlt26670486"/>
      <w:bookmarkEnd w:id="97"/>
      <w:bookmarkStart w:id="98" w:name="_Hlt26668983"/>
      <w:bookmarkEnd w:id="98"/>
      <w:bookmarkStart w:id="99" w:name="_Hlt26954848"/>
      <w:bookmarkEnd w:id="99"/>
      <w:bookmarkStart w:id="100" w:name="_Hlt26954731"/>
      <w:bookmarkEnd w:id="100"/>
      <w:bookmarkStart w:id="101" w:name="_Hlt26954846"/>
      <w:bookmarkEnd w:id="101"/>
      <w:bookmarkStart w:id="102" w:name="_Hlt26670403"/>
      <w:bookmarkEnd w:id="102"/>
      <w:bookmarkStart w:id="103" w:name="_Hlt26954842"/>
      <w:bookmarkEnd w:id="103"/>
      <w:bookmarkStart w:id="104" w:name="_Hlt26670425"/>
      <w:bookmarkEnd w:id="104"/>
      <w:bookmarkStart w:id="105" w:name="_Hlt26954844"/>
      <w:bookmarkEnd w:id="105"/>
      <w:bookmarkStart w:id="106" w:name="_Hlt26670482"/>
      <w:bookmarkEnd w:id="106"/>
      <w:r>
        <w:rPr>
          <w:rFonts w:hint="eastAsia" w:ascii="宋体" w:hAnsi="宋体" w:eastAsia="宋体"/>
          <w:bCs w:val="0"/>
          <w:color w:val="000000" w:themeColor="text1"/>
          <w:highlight w:val="none"/>
          <w14:textFill>
            <w14:solidFill>
              <w14:schemeClr w14:val="tx1"/>
            </w14:solidFill>
          </w14:textFill>
        </w:rPr>
        <w:t>14.投标偏离表</w:t>
      </w:r>
    </w:p>
    <w:p w14:paraId="79C59452">
      <w:pPr>
        <w:tabs>
          <w:tab w:val="left" w:pos="1035"/>
        </w:tabs>
        <w:spacing w:line="500" w:lineRule="exact"/>
        <w:ind w:firstLine="480"/>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14</w:t>
      </w:r>
      <w:r>
        <w:rPr>
          <w:rFonts w:hint="eastAsia" w:ascii="宋体" w:hAnsi="Arial" w:cs="宋体"/>
          <w:color w:val="000000" w:themeColor="text1"/>
          <w:sz w:val="24"/>
          <w:highlight w:val="none"/>
          <w:lang w:val="zh-CN"/>
          <w14:textFill>
            <w14:solidFill>
              <w14:schemeClr w14:val="tx1"/>
            </w14:solidFill>
          </w14:textFill>
        </w:rPr>
        <w:t>.</w:t>
      </w:r>
      <w:r>
        <w:rPr>
          <w:rFonts w:hint="eastAsia" w:ascii="宋体" w:hAnsi="Arial" w:cs="宋体"/>
          <w:color w:val="000000" w:themeColor="text1"/>
          <w:sz w:val="24"/>
          <w:highlight w:val="none"/>
          <w14:textFill>
            <w14:solidFill>
              <w14:schemeClr w14:val="tx1"/>
            </w14:solidFill>
          </w14:textFill>
        </w:rPr>
        <w:t>1</w:t>
      </w:r>
      <w:r>
        <w:rPr>
          <w:rFonts w:hint="eastAsia" w:ascii="宋体" w:hAnsi="Arial" w:cs="宋体"/>
          <w:color w:val="000000" w:themeColor="text1"/>
          <w:sz w:val="24"/>
          <w:highlight w:val="none"/>
          <w:lang w:val="zh-CN"/>
          <w14:textFill>
            <w14:solidFill>
              <w14:schemeClr w14:val="tx1"/>
            </w14:solidFill>
          </w14:textFill>
        </w:rPr>
        <w:t>供应商可在响应文件中提供认为需要的其他技术文件或说明。</w:t>
      </w:r>
    </w:p>
    <w:p w14:paraId="6040C6A6">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107" w:name="_Hlt26670489"/>
      <w:bookmarkEnd w:id="107"/>
      <w:bookmarkStart w:id="108" w:name="_Hlt26954850"/>
      <w:bookmarkEnd w:id="108"/>
      <w:bookmarkStart w:id="109" w:name="_Hlt26954734"/>
      <w:bookmarkEnd w:id="109"/>
      <w:bookmarkStart w:id="110" w:name="_Toc14577360"/>
      <w:bookmarkStart w:id="111" w:name="_Toc49090511"/>
      <w:r>
        <w:rPr>
          <w:rFonts w:hint="eastAsia" w:ascii="宋体" w:hAnsi="宋体" w:eastAsia="宋体"/>
          <w:bCs w:val="0"/>
          <w:color w:val="000000" w:themeColor="text1"/>
          <w:highlight w:val="none"/>
          <w14:textFill>
            <w14:solidFill>
              <w14:schemeClr w14:val="tx1"/>
            </w14:solidFill>
          </w14:textFill>
        </w:rPr>
        <w:t>15.投标有效期</w:t>
      </w:r>
      <w:bookmarkEnd w:id="110"/>
      <w:bookmarkEnd w:id="111"/>
    </w:p>
    <w:p w14:paraId="712203C8">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w:t>
      </w:r>
      <w:r>
        <w:rPr>
          <w:rFonts w:hint="eastAsia" w:ascii="宋体" w:hAnsi="宋体"/>
          <w:bCs/>
          <w:color w:val="000000" w:themeColor="text1"/>
          <w:sz w:val="24"/>
          <w:highlight w:val="none"/>
          <w14:textFill>
            <w14:solidFill>
              <w14:schemeClr w14:val="tx1"/>
            </w14:solidFill>
          </w14:textFill>
        </w:rPr>
        <w:t>投标有效期为磋商文件规定的开标之日后</w:t>
      </w:r>
      <w:r>
        <w:rPr>
          <w:rFonts w:hint="eastAsia" w:ascii="宋体" w:hAnsi="宋体"/>
          <w:color w:val="000000" w:themeColor="text1"/>
          <w:sz w:val="24"/>
          <w:highlight w:val="none"/>
          <w14:textFill>
            <w14:solidFill>
              <w14:schemeClr w14:val="tx1"/>
            </w14:solidFill>
          </w14:textFill>
        </w:rPr>
        <w:t>九十（90）天</w:t>
      </w:r>
      <w:r>
        <w:rPr>
          <w:rFonts w:hint="eastAsia" w:ascii="宋体" w:hAnsi="宋体"/>
          <w:bCs/>
          <w:color w:val="000000" w:themeColor="text1"/>
          <w:sz w:val="24"/>
          <w:highlight w:val="none"/>
          <w14:textFill>
            <w14:solidFill>
              <w14:schemeClr w14:val="tx1"/>
            </w14:solidFill>
          </w14:textFill>
        </w:rPr>
        <w:t>。投标有效期比规定短的将被视为未实质性响应磋商文件而予以拒绝。</w:t>
      </w:r>
    </w:p>
    <w:p w14:paraId="15652ED6">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16.投标有效期的延长</w:t>
      </w:r>
    </w:p>
    <w:p w14:paraId="051DEF08">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w:t>
      </w:r>
      <w:r>
        <w:rPr>
          <w:rFonts w:hint="eastAsia" w:ascii="宋体" w:hAnsi="宋体"/>
          <w:bCs/>
          <w:color w:val="000000" w:themeColor="text1"/>
          <w:sz w:val="24"/>
          <w:highlight w:val="none"/>
          <w14:textFill>
            <w14:solidFill>
              <w14:schemeClr w14:val="tx1"/>
            </w14:solidFill>
          </w14:textFill>
        </w:rPr>
        <w:t>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同意延长投标有效期的供应商既不能要求也不允许修改其响应文件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w:t>
      </w:r>
    </w:p>
    <w:p w14:paraId="242C4CC4">
      <w:pPr>
        <w:pStyle w:val="4"/>
        <w:keepNext w:val="0"/>
        <w:keepLines w:val="0"/>
        <w:spacing w:before="0" w:after="0" w:line="500" w:lineRule="exact"/>
        <w:rPr>
          <w:color w:val="000000" w:themeColor="text1"/>
          <w:sz w:val="30"/>
          <w:szCs w:val="30"/>
          <w:highlight w:val="none"/>
          <w14:textFill>
            <w14:solidFill>
              <w14:schemeClr w14:val="tx1"/>
            </w14:solidFill>
          </w14:textFill>
        </w:rPr>
      </w:pPr>
      <w:bookmarkStart w:id="112" w:name="_Hlt26954739"/>
      <w:bookmarkEnd w:id="112"/>
      <w:bookmarkStart w:id="113" w:name="_Hlt26954852"/>
      <w:bookmarkEnd w:id="113"/>
      <w:bookmarkStart w:id="114" w:name="_Toc513029224"/>
      <w:bookmarkStart w:id="115" w:name="_Toc16938540"/>
      <w:bookmarkStart w:id="116" w:name="_Toc120614217"/>
      <w:bookmarkStart w:id="117" w:name="_Toc20823296"/>
      <w:r>
        <w:rPr>
          <w:rFonts w:hint="eastAsia"/>
          <w:color w:val="000000" w:themeColor="text1"/>
          <w:sz w:val="30"/>
          <w:szCs w:val="30"/>
          <w:highlight w:val="none"/>
          <w14:textFill>
            <w14:solidFill>
              <w14:schemeClr w14:val="tx1"/>
            </w14:solidFill>
          </w14:textFill>
        </w:rPr>
        <w:t>四、响应文件的递交</w:t>
      </w:r>
      <w:bookmarkEnd w:id="114"/>
      <w:bookmarkEnd w:id="115"/>
      <w:bookmarkEnd w:id="116"/>
      <w:bookmarkEnd w:id="117"/>
    </w:p>
    <w:p w14:paraId="0926D858">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118" w:name="_Toc462564084"/>
      <w:bookmarkStart w:id="119" w:name="_Toc513029225"/>
      <w:bookmarkStart w:id="120" w:name="_Toc20823297"/>
      <w:bookmarkStart w:id="121" w:name="_Toc16938541"/>
      <w:r>
        <w:rPr>
          <w:rFonts w:hint="eastAsia" w:ascii="宋体" w:hAnsi="宋体" w:eastAsia="宋体"/>
          <w:bCs w:val="0"/>
          <w:color w:val="000000" w:themeColor="text1"/>
          <w:highlight w:val="none"/>
          <w14:textFill>
            <w14:solidFill>
              <w14:schemeClr w14:val="tx1"/>
            </w14:solidFill>
          </w14:textFill>
        </w:rPr>
        <w:t>17.响应文件</w:t>
      </w:r>
      <w:bookmarkEnd w:id="118"/>
      <w:bookmarkEnd w:id="119"/>
      <w:bookmarkEnd w:id="120"/>
      <w:bookmarkEnd w:id="121"/>
      <w:r>
        <w:rPr>
          <w:rFonts w:hint="eastAsia" w:ascii="宋体" w:hAnsi="宋体" w:eastAsia="宋体"/>
          <w:bCs w:val="0"/>
          <w:color w:val="000000" w:themeColor="text1"/>
          <w:highlight w:val="none"/>
          <w14:textFill>
            <w14:solidFill>
              <w14:schemeClr w14:val="tx1"/>
            </w14:solidFill>
          </w14:textFill>
        </w:rPr>
        <w:t>的递交</w:t>
      </w:r>
    </w:p>
    <w:p w14:paraId="56BAB009">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w:t>
      </w:r>
      <w:r>
        <w:rPr>
          <w:rFonts w:hint="eastAsia" w:ascii="宋体" w:hAnsi="宋体"/>
          <w:bCs/>
          <w:color w:val="000000" w:themeColor="text1"/>
          <w:sz w:val="24"/>
          <w:highlight w:val="none"/>
          <w14:textFill>
            <w14:solidFill>
              <w14:schemeClr w14:val="tx1"/>
            </w14:solidFill>
          </w14:textFill>
        </w:rPr>
        <w:t>电子响应文件的递交</w:t>
      </w:r>
    </w:p>
    <w:p w14:paraId="72E51AEC">
      <w:pPr>
        <w:pStyle w:val="80"/>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供应商应当按照《操作手册》规定，在投标截止时间前</w:t>
      </w:r>
      <w:r>
        <w:rPr>
          <w:rFonts w:ascii="宋体" w:hAnsi="宋体"/>
          <w:bCs/>
          <w:color w:val="000000" w:themeColor="text1"/>
          <w:sz w:val="24"/>
          <w:highlight w:val="none"/>
          <w14:textFill>
            <w14:solidFill>
              <w14:schemeClr w14:val="tx1"/>
            </w14:solidFill>
          </w14:textFill>
        </w:rPr>
        <w:t>制作</w:t>
      </w:r>
      <w:r>
        <w:rPr>
          <w:rFonts w:hint="eastAsia" w:ascii="宋体" w:hAnsi="宋体"/>
          <w:bCs/>
          <w:color w:val="000000" w:themeColor="text1"/>
          <w:sz w:val="24"/>
          <w:highlight w:val="none"/>
          <w14:textFill>
            <w14:solidFill>
              <w14:schemeClr w14:val="tx1"/>
            </w14:solidFill>
          </w14:textFill>
        </w:rPr>
        <w:t>并上传电子响应文件。</w:t>
      </w:r>
      <w:bookmarkStart w:id="122" w:name="_Toc16938542"/>
      <w:bookmarkStart w:id="123" w:name="_Toc513029226"/>
      <w:bookmarkStart w:id="124" w:name="_Toc20823298"/>
    </w:p>
    <w:p w14:paraId="4A3C97F7">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18.投标截止</w:t>
      </w:r>
      <w:bookmarkEnd w:id="122"/>
      <w:bookmarkEnd w:id="123"/>
      <w:bookmarkEnd w:id="124"/>
      <w:r>
        <w:rPr>
          <w:rFonts w:hint="eastAsia" w:ascii="宋体" w:hAnsi="宋体" w:eastAsia="宋体"/>
          <w:bCs w:val="0"/>
          <w:color w:val="000000" w:themeColor="text1"/>
          <w:highlight w:val="none"/>
          <w14:textFill>
            <w14:solidFill>
              <w14:schemeClr w14:val="tx1"/>
            </w14:solidFill>
          </w14:textFill>
        </w:rPr>
        <w:t>时间</w:t>
      </w:r>
    </w:p>
    <w:p w14:paraId="59BA9185">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w:t>
      </w:r>
      <w:r>
        <w:rPr>
          <w:rFonts w:hint="eastAsia" w:ascii="宋体" w:hAnsi="宋体"/>
          <w:bCs/>
          <w:color w:val="000000" w:themeColor="text1"/>
          <w:sz w:val="24"/>
          <w:highlight w:val="none"/>
          <w14:textFill>
            <w14:solidFill>
              <w14:schemeClr w14:val="tx1"/>
            </w14:solidFill>
          </w14:textFill>
        </w:rPr>
        <w:t>供应商上传电子响应文件的时间不得迟于磋商公告中规定的磋商截止时间。</w:t>
      </w:r>
    </w:p>
    <w:p w14:paraId="04FB91C7">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供应商应</w:t>
      </w:r>
      <w:r>
        <w:rPr>
          <w:rFonts w:hint="eastAsia" w:ascii="宋体" w:hAnsi="宋体"/>
          <w:bCs/>
          <w:color w:val="000000" w:themeColor="text1"/>
          <w:sz w:val="24"/>
          <w:highlight w:val="none"/>
          <w:lang w:eastAsia="zh-CN"/>
          <w14:textFill>
            <w14:solidFill>
              <w14:schemeClr w14:val="tx1"/>
            </w14:solidFill>
          </w14:textFill>
        </w:rPr>
        <w:t>充分考虑</w:t>
      </w:r>
      <w:r>
        <w:rPr>
          <w:rFonts w:hint="eastAsia" w:ascii="宋体" w:hAnsi="宋体"/>
          <w:bCs/>
          <w:color w:val="000000" w:themeColor="text1"/>
          <w:sz w:val="24"/>
          <w:highlight w:val="none"/>
          <w14:textFill>
            <w14:solidFill>
              <w14:schemeClr w14:val="tx1"/>
            </w14:solidFill>
          </w14:textFill>
        </w:rPr>
        <w:t>网络环境、网络带宽等风险因素，如因供应商自身原因造成的电子响应文件上传不成功的视作供应商未按照磋商文件要求上传电子响应文件，做无效投标处理。</w:t>
      </w:r>
    </w:p>
    <w:p w14:paraId="3072EE24">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w:t>
      </w:r>
      <w:r>
        <w:rPr>
          <w:rFonts w:hint="eastAsia" w:ascii="宋体" w:hAnsi="宋体"/>
          <w:bCs/>
          <w:color w:val="000000" w:themeColor="text1"/>
          <w:sz w:val="24"/>
          <w:highlight w:val="none"/>
          <w14:textFill>
            <w14:solidFill>
              <w14:schemeClr w14:val="tx1"/>
            </w14:solidFill>
          </w14:textFill>
        </w:rPr>
        <w:t>代理机构可以按照规定，通过更正公告修改投标截止时间，供应商的所有权利和义务以及供应商受制的截止时间均应以延长后新的截止时间为准。</w:t>
      </w:r>
    </w:p>
    <w:p w14:paraId="2B70D3F9">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125" w:name="_Toc16938543"/>
      <w:bookmarkStart w:id="126" w:name="_Toc20823299"/>
      <w:bookmarkStart w:id="127" w:name="_Toc513029227"/>
      <w:r>
        <w:rPr>
          <w:rFonts w:hint="eastAsia" w:ascii="宋体" w:hAnsi="宋体" w:eastAsia="宋体"/>
          <w:bCs w:val="0"/>
          <w:color w:val="000000" w:themeColor="text1"/>
          <w:highlight w:val="none"/>
          <w14:textFill>
            <w14:solidFill>
              <w14:schemeClr w14:val="tx1"/>
            </w14:solidFill>
          </w14:textFill>
        </w:rPr>
        <w:t>19.响应文件</w:t>
      </w:r>
      <w:bookmarkEnd w:id="125"/>
      <w:bookmarkEnd w:id="126"/>
      <w:bookmarkEnd w:id="127"/>
      <w:r>
        <w:rPr>
          <w:rFonts w:hint="eastAsia" w:ascii="宋体" w:hAnsi="宋体" w:eastAsia="宋体"/>
          <w:bCs w:val="0"/>
          <w:color w:val="000000" w:themeColor="text1"/>
          <w:highlight w:val="none"/>
          <w14:textFill>
            <w14:solidFill>
              <w14:schemeClr w14:val="tx1"/>
            </w14:solidFill>
          </w14:textFill>
        </w:rPr>
        <w:t>的拒收</w:t>
      </w:r>
    </w:p>
    <w:p w14:paraId="524074C9">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w:t>
      </w:r>
      <w:r>
        <w:rPr>
          <w:rFonts w:hint="eastAsia" w:ascii="宋体" w:hAnsi="宋体"/>
          <w:bCs/>
          <w:color w:val="000000" w:themeColor="text1"/>
          <w:sz w:val="24"/>
          <w:highlight w:val="none"/>
          <w14:textFill>
            <w14:solidFill>
              <w14:schemeClr w14:val="tx1"/>
            </w14:solidFill>
          </w14:textFill>
        </w:rPr>
        <w:t>代理机构拒绝接收在其规定的投标截止时间后上传的任何响应文件。</w:t>
      </w:r>
    </w:p>
    <w:p w14:paraId="6B7476FD">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128" w:name="_Toc513029228"/>
      <w:bookmarkStart w:id="129" w:name="_Toc20823300"/>
      <w:bookmarkStart w:id="130" w:name="_Toc16938544"/>
      <w:r>
        <w:rPr>
          <w:rFonts w:hint="eastAsia" w:ascii="宋体" w:hAnsi="宋体" w:eastAsia="宋体"/>
          <w:bCs w:val="0"/>
          <w:color w:val="000000" w:themeColor="text1"/>
          <w:highlight w:val="none"/>
          <w14:textFill>
            <w14:solidFill>
              <w14:schemeClr w14:val="tx1"/>
            </w14:solidFill>
          </w14:textFill>
        </w:rPr>
        <w:t>20.响应文件的撤回和修改</w:t>
      </w:r>
      <w:bookmarkEnd w:id="128"/>
      <w:bookmarkEnd w:id="129"/>
      <w:bookmarkEnd w:id="130"/>
    </w:p>
    <w:p w14:paraId="28C23C3C">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20.1响应文件的撤回</w:t>
      </w:r>
    </w:p>
    <w:p w14:paraId="0478DA8B">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21.1.1电子响应文件的撤回</w:t>
      </w:r>
    </w:p>
    <w:p w14:paraId="7F88F3A2">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供应商可在投标截止时间前，撤回其电子响应文件，具体操作方法见《操作手册》。</w:t>
      </w:r>
    </w:p>
    <w:p w14:paraId="6BDB3BC7">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供应商撤回电子响应文件，则认为其不再参与本项目投标活动。</w:t>
      </w:r>
    </w:p>
    <w:p w14:paraId="295D86A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20.2响应文件的修改</w:t>
      </w:r>
    </w:p>
    <w:p w14:paraId="4880C16A">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20.2.1供应商可在投标截止时间前，对其电子响应文件进行修改，具体操作方法见《操作手册》。</w:t>
      </w:r>
    </w:p>
    <w:p w14:paraId="392682DF">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20.2.2</w:t>
      </w:r>
      <w:r>
        <w:rPr>
          <w:rFonts w:hint="eastAsia" w:ascii="宋体" w:hAnsi="宋体"/>
          <w:bCs/>
          <w:color w:val="000000" w:themeColor="text1"/>
          <w:sz w:val="24"/>
          <w:highlight w:val="none"/>
          <w14:textFill>
            <w14:solidFill>
              <w14:schemeClr w14:val="tx1"/>
            </w14:solidFill>
          </w14:textFill>
        </w:rPr>
        <w:t>在投标截止时间之后，供应商不得对其电子响应文件作任何修改。</w:t>
      </w:r>
    </w:p>
    <w:p w14:paraId="0DEFF2CD">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w:t>
      </w:r>
      <w:r>
        <w:rPr>
          <w:rFonts w:hint="eastAsia" w:ascii="宋体" w:hAnsi="宋体"/>
          <w:bCs/>
          <w:color w:val="000000" w:themeColor="text1"/>
          <w:sz w:val="24"/>
          <w:highlight w:val="none"/>
          <w14:textFill>
            <w14:solidFill>
              <w14:schemeClr w14:val="tx1"/>
            </w14:solidFill>
          </w14:textFill>
        </w:rPr>
        <w:t>在投标截止时间至磋商文件中规定的投标有效期满之间的这段时间内，供应商不得撤回其投标。</w:t>
      </w:r>
    </w:p>
    <w:p w14:paraId="3BA2BBB6">
      <w:pPr>
        <w:pStyle w:val="4"/>
        <w:keepNext w:val="0"/>
        <w:keepLines w:val="0"/>
        <w:spacing w:before="0" w:after="0" w:line="500" w:lineRule="exact"/>
        <w:ind w:firstLine="452"/>
        <w:rPr>
          <w:rFonts w:hint="eastAsia"/>
          <w:color w:val="000000" w:themeColor="text1"/>
          <w:sz w:val="30"/>
          <w:szCs w:val="30"/>
          <w:highlight w:val="none"/>
          <w:lang w:eastAsia="zh-CN"/>
          <w14:textFill>
            <w14:solidFill>
              <w14:schemeClr w14:val="tx1"/>
            </w14:solidFill>
          </w14:textFill>
        </w:rPr>
      </w:pPr>
      <w:bookmarkStart w:id="131" w:name="_Toc120614218"/>
      <w:bookmarkStart w:id="132" w:name="_Toc16938545"/>
      <w:bookmarkStart w:id="133" w:name="_Toc20823301"/>
      <w:bookmarkStart w:id="134" w:name="_Toc513029229"/>
      <w:bookmarkStart w:id="135" w:name="_Toc513029234"/>
      <w:bookmarkStart w:id="136" w:name="_Toc20823306"/>
      <w:bookmarkStart w:id="137" w:name="_Toc16938550"/>
      <w:r>
        <w:rPr>
          <w:rFonts w:hint="eastAsia"/>
          <w:color w:val="000000" w:themeColor="text1"/>
          <w:sz w:val="30"/>
          <w:szCs w:val="30"/>
          <w:highlight w:val="none"/>
          <w:lang w:eastAsia="zh-CN"/>
          <w14:textFill>
            <w14:solidFill>
              <w14:schemeClr w14:val="tx1"/>
            </w14:solidFill>
          </w14:textFill>
        </w:rPr>
        <w:t>五、</w:t>
      </w:r>
      <w:bookmarkEnd w:id="131"/>
      <w:bookmarkEnd w:id="132"/>
      <w:bookmarkEnd w:id="133"/>
      <w:bookmarkEnd w:id="134"/>
      <w:r>
        <w:rPr>
          <w:rFonts w:hint="eastAsia"/>
          <w:color w:val="000000" w:themeColor="text1"/>
          <w:sz w:val="30"/>
          <w:szCs w:val="30"/>
          <w:highlight w:val="none"/>
          <w:lang w:eastAsia="zh-CN"/>
          <w14:textFill>
            <w14:solidFill>
              <w14:schemeClr w14:val="tx1"/>
            </w14:solidFill>
          </w14:textFill>
        </w:rPr>
        <w:t>响应文件的解密与评审</w:t>
      </w:r>
    </w:p>
    <w:p w14:paraId="24C3A384">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bookmarkStart w:id="138" w:name="_Toc513029230"/>
      <w:bookmarkStart w:id="139" w:name="_Toc16938546"/>
      <w:bookmarkStart w:id="140" w:name="_Toc20823302"/>
      <w:r>
        <w:rPr>
          <w:rFonts w:hint="eastAsia" w:ascii="宋体" w:hAnsi="宋体" w:eastAsia="宋体" w:cs="宋体"/>
          <w:bCs w:val="0"/>
          <w:color w:val="000000" w:themeColor="text1"/>
          <w:highlight w:val="none"/>
          <w:lang w:eastAsia="zh-CN"/>
          <w14:textFill>
            <w14:solidFill>
              <w14:schemeClr w14:val="tx1"/>
            </w14:solidFill>
          </w14:textFill>
        </w:rPr>
        <w:t>21.</w:t>
      </w:r>
      <w:bookmarkEnd w:id="138"/>
      <w:bookmarkEnd w:id="139"/>
      <w:bookmarkEnd w:id="140"/>
      <w:r>
        <w:rPr>
          <w:rFonts w:hint="eastAsia" w:ascii="宋体" w:hAnsi="宋体" w:eastAsia="宋体" w:cs="宋体"/>
          <w:bCs w:val="0"/>
          <w:color w:val="000000" w:themeColor="text1"/>
          <w:highlight w:val="none"/>
          <w:lang w:eastAsia="zh-CN"/>
          <w14:textFill>
            <w14:solidFill>
              <w14:schemeClr w14:val="tx1"/>
            </w14:solidFill>
          </w14:textFill>
        </w:rPr>
        <w:t>响应文件解密</w:t>
      </w:r>
    </w:p>
    <w:p w14:paraId="74EFF578">
      <w:pPr>
        <w:spacing w:line="5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21.1供应商应当按照《操作手册》规定，在</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规定的时间内对磋商响应文件进行解密。</w:t>
      </w:r>
    </w:p>
    <w:p w14:paraId="7B48081C">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bookmarkStart w:id="141" w:name="_Toc20823303"/>
      <w:bookmarkStart w:id="142" w:name="_Toc513029231"/>
      <w:bookmarkStart w:id="143" w:name="_Toc16938547"/>
      <w:r>
        <w:rPr>
          <w:rFonts w:hint="eastAsia" w:ascii="宋体" w:hAnsi="宋体" w:eastAsia="宋体" w:cs="宋体"/>
          <w:bCs w:val="0"/>
          <w:color w:val="000000" w:themeColor="text1"/>
          <w:highlight w:val="none"/>
          <w:lang w:eastAsia="zh-CN"/>
          <w14:textFill>
            <w14:solidFill>
              <w14:schemeClr w14:val="tx1"/>
            </w14:solidFill>
          </w14:textFill>
        </w:rPr>
        <w:t>22.磋商小组</w:t>
      </w:r>
    </w:p>
    <w:p w14:paraId="3BB1339E">
      <w:pPr>
        <w:spacing w:line="500" w:lineRule="exact"/>
        <w:ind w:firstLine="48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22.1采购代理机构将组织磋商小组对响应文件进行评审。磋商小组依法组建，且人员构成符合政府采购有关规定。</w:t>
      </w:r>
    </w:p>
    <w:p w14:paraId="798D2D78">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22.2磋商小组独立工作，负责评审所有响应文件并确定成交候选人。</w:t>
      </w:r>
    </w:p>
    <w:p w14:paraId="421B253A">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23.评审过程的保密与公正</w:t>
      </w:r>
      <w:bookmarkEnd w:id="141"/>
      <w:bookmarkEnd w:id="142"/>
      <w:bookmarkEnd w:id="143"/>
    </w:p>
    <w:p w14:paraId="70ECC10D">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23.1磋商小组、采购人和采购代理机构工作人员、相关监督人员等与评审工作有关的人员，对评审情况以及在评审过程中获悉的国家秘密、商业秘密负有保密责任。</w:t>
      </w:r>
    </w:p>
    <w:p w14:paraId="5955BED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23.2</w:t>
      </w:r>
      <w:r>
        <w:rPr>
          <w:rFonts w:hint="eastAsia" w:ascii="宋体" w:hAnsi="宋体" w:cs="宋体"/>
          <w:color w:val="000000" w:themeColor="text1"/>
          <w:sz w:val="24"/>
          <w:szCs w:val="24"/>
          <w:highlight w:val="none"/>
          <w14:textFill>
            <w14:solidFill>
              <w14:schemeClr w14:val="tx1"/>
            </w14:solidFill>
          </w14:textFill>
        </w:rPr>
        <w:t>在评审过程中，供应商不得以任何行为影响磋商评审过程，否则其响应文件将被作为无效响应文件。</w:t>
      </w:r>
    </w:p>
    <w:p w14:paraId="2EF13C2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23.3采购代理机构和磋商小组不向未成交的供应商解释未成交原因，也不公布评审过程中的相关细节。</w:t>
      </w:r>
    </w:p>
    <w:p w14:paraId="5EB068DC">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bookmarkStart w:id="144" w:name="_Toc16938548"/>
      <w:bookmarkStart w:id="145" w:name="_Toc20823304"/>
      <w:bookmarkStart w:id="146" w:name="_Toc513029232"/>
      <w:r>
        <w:rPr>
          <w:rFonts w:hint="eastAsia" w:ascii="宋体" w:hAnsi="宋体" w:eastAsia="宋体" w:cs="宋体"/>
          <w:bCs w:val="0"/>
          <w:color w:val="000000" w:themeColor="text1"/>
          <w:highlight w:val="none"/>
          <w:lang w:eastAsia="zh-CN"/>
          <w14:textFill>
            <w14:solidFill>
              <w14:schemeClr w14:val="tx1"/>
            </w14:solidFill>
          </w14:textFill>
        </w:rPr>
        <w:t>24.评审过程中的澄清</w:t>
      </w:r>
      <w:bookmarkEnd w:id="144"/>
      <w:bookmarkEnd w:id="145"/>
      <w:bookmarkEnd w:id="146"/>
    </w:p>
    <w:p w14:paraId="66E6E207">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24.1评审期间，磋商小组对响应文件中含义不明确、同类问题表述不一致或者有明显文字和计算错误的内容，有权要求供应商作出必要的澄清、说明或者补正。</w:t>
      </w:r>
    </w:p>
    <w:p w14:paraId="44B52FB4">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供应商的澄清、说明或者补正不得超出响应文件的范围或者改变响应文件的实质性内容。</w:t>
      </w:r>
    </w:p>
    <w:p w14:paraId="520A023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24.2需要供应商进行澄清、说明和补正的，磋商小组将通过</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color w:val="000000" w:themeColor="text1"/>
          <w:sz w:val="24"/>
          <w:szCs w:val="24"/>
          <w:highlight w:val="none"/>
          <w14:textFill>
            <w14:solidFill>
              <w14:schemeClr w14:val="tx1"/>
            </w14:solidFill>
          </w14:textFill>
        </w:rPr>
        <w:t>向供应商发出“澄清要求函”，接到“澄清要求函”的供应商应当按照要求在</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color w:val="000000" w:themeColor="text1"/>
          <w:sz w:val="24"/>
          <w:szCs w:val="24"/>
          <w:highlight w:val="none"/>
          <w14:textFill>
            <w14:solidFill>
              <w14:schemeClr w14:val="tx1"/>
            </w14:solidFill>
          </w14:textFill>
        </w:rPr>
        <w:t>中提交“澄清响应函”并加盖CA电子公章。澄清、说明和补正的内容作为响应文件的补充部分，具体操作方式见《操作手册》。</w:t>
      </w:r>
    </w:p>
    <w:p w14:paraId="3A083AE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24.3接到磋商小组澄清、说明和补正要求的供应商如未按规定及时作出澄清、说明和补正，其风险由供应商自行承担。</w:t>
      </w:r>
    </w:p>
    <w:p w14:paraId="5AECC0EF">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bookmarkStart w:id="147" w:name="_Toc16938549"/>
      <w:bookmarkStart w:id="148" w:name="_Toc513029233"/>
      <w:bookmarkStart w:id="149" w:name="_Toc20823305"/>
      <w:r>
        <w:rPr>
          <w:rFonts w:hint="eastAsia" w:ascii="宋体" w:hAnsi="宋体" w:eastAsia="宋体" w:cs="宋体"/>
          <w:bCs w:val="0"/>
          <w:color w:val="000000" w:themeColor="text1"/>
          <w:highlight w:val="none"/>
          <w:lang w:eastAsia="zh-CN"/>
          <w14:textFill>
            <w14:solidFill>
              <w14:schemeClr w14:val="tx1"/>
            </w14:solidFill>
          </w14:textFill>
        </w:rPr>
        <w:t>25.对响应文件的审查</w:t>
      </w:r>
      <w:bookmarkEnd w:id="147"/>
      <w:bookmarkEnd w:id="148"/>
      <w:bookmarkEnd w:id="149"/>
    </w:p>
    <w:p w14:paraId="4E83319A">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25.1</w:t>
      </w:r>
      <w:r>
        <w:rPr>
          <w:rFonts w:hint="eastAsia" w:ascii="宋体" w:hAnsi="宋体" w:cs="宋体"/>
          <w:bCs/>
          <w:color w:val="000000" w:themeColor="text1"/>
          <w:sz w:val="24"/>
          <w:highlight w:val="none"/>
          <w14:textFill>
            <w14:solidFill>
              <w14:schemeClr w14:val="tx1"/>
            </w14:solidFill>
          </w14:textFill>
        </w:rPr>
        <w:t>响应文件审查分为资格审查和符合性审查。</w:t>
      </w:r>
    </w:p>
    <w:p w14:paraId="4B47AA5C">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25.1.1资格审查：依据法律法规和磋商文件的规定，由磋商小组对响应文件中的资格证明文件进行审查，以确定供应商是否具备参加磋商的资格。</w:t>
      </w:r>
    </w:p>
    <w:p w14:paraId="54748C15">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磋商小组在进行资格审查的同时，将</w:t>
      </w:r>
      <w:r>
        <w:rPr>
          <w:rFonts w:hint="eastAsia" w:ascii="宋体" w:hAnsi="宋体" w:cs="宋体"/>
          <w:bCs/>
          <w:color w:val="000000" w:themeColor="text1"/>
          <w:sz w:val="24"/>
          <w:szCs w:val="24"/>
          <w:highlight w:val="none"/>
          <w14:textFill>
            <w14:solidFill>
              <w14:schemeClr w14:val="tx1"/>
            </w14:solidFill>
          </w14:textFill>
        </w:rPr>
        <w:t>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中国政府采购网（www.ccgp.gov.cn）</w:t>
      </w:r>
      <w:r>
        <w:rPr>
          <w:rFonts w:hint="eastAsia" w:ascii="宋体" w:hAnsi="宋体" w:cs="宋体"/>
          <w:bCs/>
          <w:color w:val="000000" w:themeColor="text1"/>
          <w:sz w:val="24"/>
          <w:szCs w:val="24"/>
          <w:highlight w:val="none"/>
          <w14:textFill>
            <w14:solidFill>
              <w14:schemeClr w14:val="tx1"/>
            </w14:solidFill>
          </w14:textFill>
        </w:rPr>
        <w:t>查询供应商在提交响应文件截止时间之前，是否被列入</w:t>
      </w:r>
      <w:r>
        <w:rPr>
          <w:rFonts w:hint="eastAsia" w:ascii="宋体" w:hAnsi="宋体" w:cs="宋体"/>
          <w:color w:val="000000" w:themeColor="text1"/>
          <w:sz w:val="24"/>
          <w:szCs w:val="24"/>
          <w:highlight w:val="none"/>
          <w14:textFill>
            <w14:solidFill>
              <w14:schemeClr w14:val="tx1"/>
            </w14:solidFill>
          </w14:textFill>
        </w:rPr>
        <w:t>失信被执行人、重大税收违法失信主体、政府采购严重违法失信行为记录名单，</w:t>
      </w:r>
      <w:r>
        <w:rPr>
          <w:rFonts w:hint="eastAsia" w:ascii="宋体" w:hAnsi="宋体" w:cs="宋体"/>
          <w:bCs/>
          <w:color w:val="000000" w:themeColor="text1"/>
          <w:sz w:val="24"/>
          <w:highlight w:val="none"/>
          <w14:textFill>
            <w14:solidFill>
              <w14:schemeClr w14:val="tx1"/>
            </w14:solidFill>
          </w14:textFill>
        </w:rPr>
        <w:t>以确定供应商是否具备磋商资格。</w:t>
      </w:r>
      <w:r>
        <w:rPr>
          <w:rFonts w:hint="eastAsia" w:ascii="宋体" w:hAnsi="宋体" w:cs="宋体"/>
          <w:color w:val="000000" w:themeColor="text1"/>
          <w:sz w:val="24"/>
          <w:szCs w:val="24"/>
          <w:highlight w:val="none"/>
          <w14:textFill>
            <w14:solidFill>
              <w14:schemeClr w14:val="tx1"/>
            </w14:solidFill>
          </w14:textFill>
        </w:rPr>
        <w:t>查询结果留存并归档。</w:t>
      </w:r>
    </w:p>
    <w:p w14:paraId="6301F6AC">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接受联合体的项目，两个以上的自然人、法人或者其他组织组成一个联合体，以一个供应商的身份共同参加政府采购活动的，联合体成员存在不良信用记录的，视同联合体存在不良信用记录。</w:t>
      </w:r>
    </w:p>
    <w:p w14:paraId="0B07EC31">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25.1.2符合性审查：依据磋商文件的规定，由磋商小组从响应文件的有效性、完整性和对磋商文件的响应程度进行审查，以确定是否对磋商文件的实质性要求作出响应。</w:t>
      </w:r>
    </w:p>
    <w:p w14:paraId="10C1BE8D">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25.1.3未通过资格审查或符合性审查的供应商，将在</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highlight w:val="none"/>
          <w14:textFill>
            <w14:solidFill>
              <w14:schemeClr w14:val="tx1"/>
            </w14:solidFill>
          </w14:textFill>
        </w:rPr>
        <w:t>中告知未通过资格审查或符合性审查的原因，评审结束后，将不再告知未通过资格审查和符合性审查的原因。</w:t>
      </w:r>
    </w:p>
    <w:p w14:paraId="5442D9F5">
      <w:pPr>
        <w:spacing w:line="5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25.2在详细评审之前，磋商小组将首先审查每份响应文件是否实质性响应了磋商文件的要求。实质性响应的响应文件</w:t>
      </w:r>
      <w:r>
        <w:rPr>
          <w:rFonts w:hint="eastAsia" w:ascii="宋体" w:hAnsi="宋体" w:cs="宋体"/>
          <w:color w:val="000000" w:themeColor="text1"/>
          <w:sz w:val="24"/>
          <w:highlight w:val="none"/>
          <w:lang w:eastAsia="zh-CN"/>
          <w14:textFill>
            <w14:solidFill>
              <w14:schemeClr w14:val="tx1"/>
            </w14:solidFill>
          </w14:textFill>
        </w:rPr>
        <w:t>应该</w:t>
      </w:r>
      <w:r>
        <w:rPr>
          <w:rFonts w:hint="eastAsia" w:ascii="宋体" w:hAnsi="宋体" w:cs="宋体"/>
          <w:color w:val="000000" w:themeColor="text1"/>
          <w:sz w:val="24"/>
          <w:highlight w:val="none"/>
          <w14:textFill>
            <w14:solidFill>
              <w14:schemeClr w14:val="tx1"/>
            </w14:solidFill>
          </w14:textFill>
        </w:rPr>
        <w:t>与磋商文件要求的全部条款、条件和规格相符，没有重大偏离或保留。</w:t>
      </w:r>
    </w:p>
    <w:p w14:paraId="4D002A9B">
      <w:pPr>
        <w:spacing w:line="5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p>
    <w:p w14:paraId="4B030226">
      <w:pPr>
        <w:spacing w:line="5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25.3如果响应文件实质上没有响应磋商文件的要求，磋商小组将予以拒绝，其响应文件无效，供应商不得通过修改或撤销</w:t>
      </w:r>
      <w:r>
        <w:rPr>
          <w:rFonts w:hint="eastAsia" w:ascii="宋体" w:hAnsi="宋体" w:cs="宋体"/>
          <w:color w:val="000000" w:themeColor="text1"/>
          <w:sz w:val="24"/>
          <w:highlight w:val="none"/>
          <w:lang w:eastAsia="zh-CN"/>
          <w14:textFill>
            <w14:solidFill>
              <w14:schemeClr w14:val="tx1"/>
            </w14:solidFill>
          </w14:textFill>
        </w:rPr>
        <w:t>不符</w:t>
      </w:r>
      <w:r>
        <w:rPr>
          <w:rFonts w:hint="eastAsia" w:ascii="宋体" w:hAnsi="宋体" w:cs="宋体"/>
          <w:color w:val="000000" w:themeColor="text1"/>
          <w:sz w:val="24"/>
          <w:highlight w:val="none"/>
          <w14:textFill>
            <w14:solidFill>
              <w14:schemeClr w14:val="tx1"/>
            </w14:solidFill>
          </w14:textFill>
        </w:rPr>
        <w:t>合要求的偏离或保留而使其响应成为实质性响应。</w:t>
      </w:r>
    </w:p>
    <w:p w14:paraId="0C004853">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25.4</w:t>
      </w:r>
      <w:r>
        <w:rPr>
          <w:rFonts w:hint="eastAsia" w:ascii="宋体" w:hAnsi="宋体" w:cs="宋体"/>
          <w:bCs/>
          <w:color w:val="000000" w:themeColor="text1"/>
          <w:sz w:val="24"/>
          <w:highlight w:val="none"/>
          <w14:textFill>
            <w14:solidFill>
              <w14:schemeClr w14:val="tx1"/>
            </w14:solidFill>
          </w14:textFill>
        </w:rPr>
        <w:t>磋商小组将对确定为实质性响应的响应文件进行进一步审核，确定其是否有计算上或累加上的算术错误，修正错误的原则如下：</w:t>
      </w:r>
    </w:p>
    <w:p w14:paraId="01BC080F">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（1）响应文件中报价一览表内容与响应文件中相应内容不一致的，以报价一览表为准。</w:t>
      </w:r>
    </w:p>
    <w:p w14:paraId="08C8959E">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（2）大写金额和小写金额不一致的，以大写金额为准。</w:t>
      </w:r>
    </w:p>
    <w:p w14:paraId="67336022">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（3）单价金额小数点或者百分比有明显错位的，以报价一览表的总价为准，并修改单价。</w:t>
      </w:r>
    </w:p>
    <w:p w14:paraId="2AF44399">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（4）总价金额与按单价汇总金额不一致的，以单价金额计算结果为准。</w:t>
      </w:r>
    </w:p>
    <w:p w14:paraId="0DA8B6C3">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同时出现两种以上错误的，按照前款规定的顺序修正。</w:t>
      </w:r>
    </w:p>
    <w:p w14:paraId="7D878081">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25.5</w:t>
      </w:r>
      <w:r>
        <w:rPr>
          <w:rFonts w:hint="eastAsia" w:ascii="宋体" w:hAnsi="宋体" w:cs="宋体"/>
          <w:bCs/>
          <w:color w:val="000000" w:themeColor="text1"/>
          <w:sz w:val="24"/>
          <w:highlight w:val="none"/>
          <w14:textFill>
            <w14:solidFill>
              <w14:schemeClr w14:val="tx1"/>
            </w14:solidFill>
          </w14:textFill>
        </w:rPr>
        <w:t>磋商小组将按上述修正错误的方法调整响应文件中的报价，并通过</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highlight w:val="none"/>
          <w14:textFill>
            <w14:solidFill>
              <w14:schemeClr w14:val="tx1"/>
            </w14:solidFill>
          </w14:textFill>
        </w:rPr>
        <w:t>告知供应商，调整后的价格</w:t>
      </w:r>
      <w:r>
        <w:rPr>
          <w:rFonts w:hint="eastAsia" w:ascii="宋体" w:hAnsi="宋体" w:cs="宋体"/>
          <w:bCs/>
          <w:color w:val="000000" w:themeColor="text1"/>
          <w:sz w:val="24"/>
          <w:highlight w:val="none"/>
          <w:lang w:eastAsia="zh-CN"/>
          <w14:textFill>
            <w14:solidFill>
              <w14:schemeClr w14:val="tx1"/>
            </w14:solidFill>
          </w14:textFill>
        </w:rPr>
        <w:t>对</w:t>
      </w:r>
      <w:r>
        <w:rPr>
          <w:rFonts w:hint="eastAsia" w:ascii="宋体" w:hAnsi="宋体" w:cs="宋体"/>
          <w:bCs/>
          <w:color w:val="000000" w:themeColor="text1"/>
          <w:sz w:val="24"/>
          <w:highlight w:val="none"/>
          <w14:textFill>
            <w14:solidFill>
              <w14:schemeClr w14:val="tx1"/>
            </w14:solidFill>
          </w14:textFill>
        </w:rPr>
        <w:t>供应商具有约束力。如果供应商不确认或不接受修正后的价格，则其响应文件将被拒绝，其响应无效。</w:t>
      </w:r>
    </w:p>
    <w:p w14:paraId="1B020A86">
      <w:pPr>
        <w:spacing w:line="500" w:lineRule="exact"/>
        <w:ind w:firstLine="420"/>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25.6供应商在评审全过程中应</w:t>
      </w:r>
      <w:r>
        <w:rPr>
          <w:rFonts w:hint="eastAsia" w:ascii="宋体" w:hAnsi="宋体" w:cs="宋体"/>
          <w:color w:val="000000" w:themeColor="text1"/>
          <w:sz w:val="24"/>
          <w:highlight w:val="none"/>
          <w:lang w:eastAsia="zh-CN"/>
          <w14:textFill>
            <w14:solidFill>
              <w14:schemeClr w14:val="tx1"/>
            </w14:solidFill>
          </w14:textFill>
        </w:rPr>
        <w:t>保持通信畅通</w:t>
      </w:r>
      <w:r>
        <w:rPr>
          <w:rFonts w:hint="eastAsia" w:ascii="宋体" w:hAnsi="宋体" w:cs="宋体"/>
          <w:color w:val="000000" w:themeColor="text1"/>
          <w:sz w:val="24"/>
          <w:highlight w:val="none"/>
          <w14:textFill>
            <w14:solidFill>
              <w14:schemeClr w14:val="tx1"/>
            </w14:solidFill>
          </w14:textFill>
        </w:rPr>
        <w:t>，及时登录</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color w:val="000000" w:themeColor="text1"/>
          <w:sz w:val="24"/>
          <w:highlight w:val="none"/>
          <w14:textFill>
            <w14:solidFill>
              <w14:schemeClr w14:val="tx1"/>
            </w14:solidFill>
          </w14:textFill>
        </w:rPr>
        <w:t>查阅、答复相关信息，并安排专人随时接受与代理机构及磋商小组的相关询问。</w:t>
      </w:r>
    </w:p>
    <w:p w14:paraId="3B7FFC2D">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26</w:t>
      </w:r>
      <w:bookmarkEnd w:id="135"/>
      <w:bookmarkEnd w:id="136"/>
      <w:bookmarkEnd w:id="137"/>
      <w:r>
        <w:rPr>
          <w:rFonts w:hint="eastAsia" w:ascii="宋体" w:hAnsi="宋体" w:eastAsia="宋体"/>
          <w:bCs w:val="0"/>
          <w:color w:val="000000" w:themeColor="text1"/>
          <w:highlight w:val="none"/>
          <w14:textFill>
            <w14:solidFill>
              <w14:schemeClr w14:val="tx1"/>
            </w14:solidFill>
          </w14:textFill>
        </w:rPr>
        <w:t>.无效投标条款和废标条款</w:t>
      </w:r>
    </w:p>
    <w:p w14:paraId="7DB4E7FD">
      <w:pPr>
        <w:spacing w:line="500" w:lineRule="exact"/>
        <w:ind w:left="479"/>
        <w:rPr>
          <w:rFonts w:ascii="宋体" w:hAnsi="宋体"/>
          <w:bCs/>
          <w:color w:val="000000" w:themeColor="text1"/>
          <w:sz w:val="24"/>
          <w:highlight w:val="none"/>
          <w14:textFill>
            <w14:solidFill>
              <w14:schemeClr w14:val="tx1"/>
            </w14:solidFill>
          </w14:textFill>
        </w:rPr>
      </w:pPr>
      <w:bookmarkStart w:id="150" w:name="_Toc513029235"/>
      <w:bookmarkStart w:id="151" w:name="_Toc16938551"/>
      <w:bookmarkStart w:id="152" w:name="_Toc20823307"/>
      <w:r>
        <w:rPr>
          <w:rFonts w:hint="eastAsia" w:ascii="宋体" w:hAnsi="宋体"/>
          <w:bCs/>
          <w:color w:val="000000" w:themeColor="text1"/>
          <w:sz w:val="24"/>
          <w:highlight w:val="none"/>
          <w14:textFill>
            <w14:solidFill>
              <w14:schemeClr w14:val="tx1"/>
            </w14:solidFill>
          </w14:textFill>
        </w:rPr>
        <w:t>26.1无效投标条款</w:t>
      </w:r>
    </w:p>
    <w:p w14:paraId="6E02A04F">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w:t>
      </w:r>
      <w:r>
        <w:rPr>
          <w:rFonts w:hint="eastAsia" w:ascii="宋体" w:hAnsi="宋体"/>
          <w:bCs/>
          <w:color w:val="000000" w:themeColor="text1"/>
          <w:sz w:val="24"/>
          <w:szCs w:val="24"/>
          <w:highlight w:val="none"/>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未按《“苏采云”系统供应商操作手册》进行正确操作的。</w:t>
      </w:r>
    </w:p>
    <w:p w14:paraId="7AC6E8CF">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26.1.2供应商在“苏采云”系统规定的时间内未成功解密电子响应文件的。</w:t>
      </w:r>
    </w:p>
    <w:p w14:paraId="3D605AB5">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w:t>
      </w:r>
      <w:r>
        <w:rPr>
          <w:rFonts w:hint="eastAsia" w:ascii="宋体" w:hAnsi="宋体"/>
          <w:bCs/>
          <w:color w:val="000000" w:themeColor="text1"/>
          <w:sz w:val="24"/>
          <w:highlight w:val="none"/>
          <w14:textFill>
            <w14:solidFill>
              <w14:schemeClr w14:val="tx1"/>
            </w14:solidFill>
          </w14:textFill>
        </w:rPr>
        <w:t>供应商未按照磋商文件要求上传电子响应文件、</w:t>
      </w:r>
      <w:r>
        <w:rPr>
          <w:rFonts w:hint="eastAsia" w:ascii="宋体" w:hAnsi="宋体"/>
          <w:bCs/>
          <w:color w:val="000000" w:themeColor="text1"/>
          <w:sz w:val="24"/>
          <w:szCs w:val="24"/>
          <w:highlight w:val="none"/>
          <w14:textFill>
            <w14:solidFill>
              <w14:schemeClr w14:val="tx1"/>
            </w14:solidFill>
          </w14:textFill>
        </w:rPr>
        <w:t>电子响应文件未按规定期限投标的，纸质响应文件（如有）未按规定的期限、地点送达的。</w:t>
      </w:r>
    </w:p>
    <w:p w14:paraId="5C1E93AC">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w:t>
      </w:r>
      <w:r>
        <w:rPr>
          <w:rFonts w:hint="eastAsia" w:ascii="宋体" w:hAnsi="宋体"/>
          <w:bCs/>
          <w:color w:val="000000" w:themeColor="text1"/>
          <w:sz w:val="24"/>
          <w:highlight w:val="none"/>
          <w14:textFill>
            <w14:solidFill>
              <w14:schemeClr w14:val="tx1"/>
            </w14:solidFill>
          </w14:textFill>
        </w:rPr>
        <w:t>供应商的</w:t>
      </w:r>
      <w:r>
        <w:rPr>
          <w:rFonts w:hint="eastAsia" w:ascii="宋体" w:hAnsi="宋体"/>
          <w:bCs/>
          <w:color w:val="000000" w:themeColor="text1"/>
          <w:sz w:val="24"/>
          <w:szCs w:val="24"/>
          <w:highlight w:val="none"/>
          <w14:textFill>
            <w14:solidFill>
              <w14:schemeClr w14:val="tx1"/>
            </w14:solidFill>
          </w14:textFill>
        </w:rPr>
        <w:t>电子响应文件未按磋商文件要求签章的。</w:t>
      </w:r>
    </w:p>
    <w:p w14:paraId="192FAEDA">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26.1.5供应商的被授权代表无授权委托书或授权委托日期晚于投标截止日期的。</w:t>
      </w:r>
    </w:p>
    <w:p w14:paraId="6EC06529">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26.1.6供应商不具备磋商文件中规定的资格要求或未按磋商文件规定的要求提供资格证明文件的。</w:t>
      </w:r>
    </w:p>
    <w:p w14:paraId="2AD0E7D7">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26.1.7</w:t>
      </w:r>
      <w:r>
        <w:rPr>
          <w:rFonts w:hint="eastAsia" w:ascii="宋体" w:hAnsi="宋体"/>
          <w:bCs/>
          <w:color w:val="000000" w:themeColor="text1"/>
          <w:sz w:val="24"/>
          <w:highlight w:val="none"/>
          <w14:textFill>
            <w14:solidFill>
              <w14:schemeClr w14:val="tx1"/>
            </w14:solidFill>
          </w14:textFill>
        </w:rPr>
        <w:t>同一供应商提交两种（含两种）以上不同的投标报价的。</w:t>
      </w:r>
    </w:p>
    <w:p w14:paraId="2A3370AB">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26.1.8供应商被“信用中国”网站（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或查询“信用中国”网站、</w:t>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bCs/>
          <w:color w:val="000000" w:themeColor="text1"/>
          <w:sz w:val="24"/>
          <w:highlight w:val="none"/>
          <w14:textFill>
            <w14:solidFill>
              <w14:schemeClr w14:val="tx1"/>
            </w14:solidFill>
          </w14:textFill>
        </w:rPr>
        <w:t>后发现供应商存在其他不符合《中华人民共和国政府采购法》第二十二条规定条件的信用记录。</w:t>
      </w:r>
    </w:p>
    <w:p w14:paraId="3D4530D8">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26.1.9响应文件未按磋商文件规定的内容和要求填写的。</w:t>
      </w:r>
    </w:p>
    <w:p w14:paraId="01333870">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w:t>
      </w:r>
      <w:r>
        <w:rPr>
          <w:rFonts w:hint="eastAsia" w:ascii="宋体" w:hAnsi="宋体"/>
          <w:bCs/>
          <w:color w:val="000000" w:themeColor="text1"/>
          <w:sz w:val="24"/>
          <w:highlight w:val="none"/>
          <w14:textFill>
            <w14:solidFill>
              <w14:schemeClr w14:val="tx1"/>
            </w14:solidFill>
          </w14:textFill>
        </w:rPr>
        <w:t>供应商的</w:t>
      </w:r>
      <w:r>
        <w:rPr>
          <w:rFonts w:hint="eastAsia" w:ascii="宋体" w:hAnsi="宋体"/>
          <w:bCs/>
          <w:color w:val="000000" w:themeColor="text1"/>
          <w:sz w:val="24"/>
          <w:szCs w:val="24"/>
          <w:highlight w:val="none"/>
          <w14:textFill>
            <w14:solidFill>
              <w14:schemeClr w14:val="tx1"/>
            </w14:solidFill>
          </w14:textFill>
        </w:rPr>
        <w:t>项目（采购包、标项、标段）投标总价超过本项目（本采购包、本标项、本标段）预算或最高限价的。</w:t>
      </w:r>
    </w:p>
    <w:p w14:paraId="0D3E01A4">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26.1.11未通过符合性审查的。</w:t>
      </w:r>
    </w:p>
    <w:p w14:paraId="1752690A">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26.1.12响应文件含有采购人不能接受的附加条件的。</w:t>
      </w:r>
    </w:p>
    <w:p w14:paraId="6E646B64">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26.1.13电子响应文件图片、字迹模糊不清、无法辨认导致无法评审的。</w:t>
      </w:r>
    </w:p>
    <w:p w14:paraId="3DEDD238">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26.1.14响应文件中有磋商文件未允许提供的选择性内容。</w:t>
      </w:r>
    </w:p>
    <w:p w14:paraId="05E383A9">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26.1.15</w:t>
      </w:r>
      <w:r>
        <w:rPr>
          <w:rFonts w:hint="eastAsia" w:ascii="宋体" w:hAnsi="宋体"/>
          <w:bCs/>
          <w:color w:val="000000" w:themeColor="text1"/>
          <w:sz w:val="24"/>
          <w:szCs w:val="24"/>
          <w:highlight w:val="none"/>
          <w14:textFill>
            <w14:solidFill>
              <w14:schemeClr w14:val="tx1"/>
            </w14:solidFill>
          </w14:textFill>
        </w:rPr>
        <w:t>不同供应商委托同一单位或者个人办理投标事宜的。</w:t>
      </w:r>
    </w:p>
    <w:p w14:paraId="3A5E7502">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26.1.16</w:t>
      </w:r>
      <w:r>
        <w:rPr>
          <w:rFonts w:hint="eastAsia" w:ascii="宋体" w:hAnsi="宋体"/>
          <w:bCs/>
          <w:color w:val="000000" w:themeColor="text1"/>
          <w:sz w:val="24"/>
          <w:szCs w:val="24"/>
          <w:highlight w:val="none"/>
          <w14:textFill>
            <w14:solidFill>
              <w14:schemeClr w14:val="tx1"/>
            </w14:solidFill>
          </w14:textFill>
        </w:rPr>
        <w:t>不同供应商的单位负责人为同一人或者存在直接控股、管理关系的。</w:t>
      </w:r>
    </w:p>
    <w:p w14:paraId="220AC721">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26.1.17不同供应商的响应文件的装订形式、纸张情况、目录序号、排版格式、文字风格等存在明显的相似性或一致性，特征显示由同一单位或者同一个人编制的。</w:t>
      </w:r>
    </w:p>
    <w:p w14:paraId="60353532">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26.1.18不同供应商响应文件内容存在非正常一致、项目组成员出现同一人、响应文件中错误（或异常）一致或雷同、电子文档信息一致或雷同的、投标报价呈规律性差异的。</w:t>
      </w:r>
    </w:p>
    <w:p w14:paraId="1CA08A14">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26.1.19不同供应商的投标资料相互混装、不同供应商的委托代理人、项目负责人以及其他相关人员有在同一个单位缴纳社会保险、同一响应文件中单位名称落款与公章不是同一单位的。</w:t>
      </w:r>
    </w:p>
    <w:p w14:paraId="3289A290">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26.1.20</w:t>
      </w:r>
      <w:r>
        <w:rPr>
          <w:rFonts w:hint="eastAsia" w:ascii="宋体" w:hAnsi="宋体"/>
          <w:bCs/>
          <w:color w:val="000000" w:themeColor="text1"/>
          <w:sz w:val="24"/>
          <w:szCs w:val="24"/>
          <w:highlight w:val="none"/>
          <w14:textFill>
            <w14:solidFill>
              <w14:schemeClr w14:val="tx1"/>
            </w14:solidFill>
          </w14:textFill>
        </w:rPr>
        <w:t>提供虚假材料的（包括工商营业执照、财务报表、资格证明文件等）。</w:t>
      </w:r>
    </w:p>
    <w:p w14:paraId="339E2BA2">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26.1.21</w:t>
      </w:r>
      <w:r>
        <w:rPr>
          <w:rFonts w:hint="eastAsia" w:ascii="宋体" w:hAnsi="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48F5EFD1">
      <w:pPr>
        <w:spacing w:line="500" w:lineRule="exact"/>
        <w:ind w:firstLine="480"/>
        <w:rPr>
          <w:rFonts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26.1.22评标委员会认定供应商的报价明显低于其他通过符合性审查供应商的报价，有可能影响产品质量或者不能诚信履约，且供应商不能应评标委员会要求</w:t>
      </w:r>
      <w:r>
        <w:rPr>
          <w:rFonts w:hint="eastAsia"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在评标现场</w:t>
      </w:r>
      <w:r>
        <w:rPr>
          <w:rFonts w:hint="eastAsia" w:ascii="宋体" w:hAnsi="宋体"/>
          <w:color w:val="000000" w:themeColor="text1"/>
          <w:sz w:val="24"/>
          <w:szCs w:val="24"/>
          <w:highlight w:val="none"/>
          <w14:textFill>
            <w14:solidFill>
              <w14:schemeClr w14:val="tx1"/>
            </w14:solidFill>
          </w14:textFill>
        </w:rPr>
        <w:t>）在给定的</w:t>
      </w:r>
      <w:r>
        <w:rPr>
          <w:rFonts w:hint="eastAsia" w:ascii="宋体" w:hAnsi="宋体"/>
          <w:bCs/>
          <w:color w:val="000000" w:themeColor="text1"/>
          <w:sz w:val="24"/>
          <w:szCs w:val="24"/>
          <w:highlight w:val="none"/>
          <w14:textFill>
            <w14:solidFill>
              <w14:schemeClr w14:val="tx1"/>
            </w14:solidFill>
          </w14:textFill>
        </w:rPr>
        <w:t>合理时间内提供说明（必要时评标委员会可要求供应商提交相关证明材料）证明其报价合理性的</w:t>
      </w:r>
      <w:r>
        <w:rPr>
          <w:rFonts w:hint="eastAsia" w:ascii="宋体" w:hAnsi="宋体"/>
          <w:bCs/>
          <w:color w:val="000000" w:themeColor="text1"/>
          <w:sz w:val="24"/>
          <w:highlight w:val="none"/>
          <w14:textFill>
            <w14:solidFill>
              <w14:schemeClr w14:val="tx1"/>
            </w14:solidFill>
          </w14:textFill>
        </w:rPr>
        <w:t>，评标委员会应当将其作为无效投标处理。</w:t>
      </w:r>
    </w:p>
    <w:p w14:paraId="0ECB533E">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26.1.23响应文件内容不全或不符合磋商文件中规定的其他实质性要求和条件的</w:t>
      </w:r>
    </w:p>
    <w:p w14:paraId="38EF6AF3">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26.1.24其他法律法规及本磋商文件规定的</w:t>
      </w:r>
      <w:r>
        <w:rPr>
          <w:rFonts w:hint="eastAsia" w:ascii="宋体" w:hAnsi="宋体"/>
          <w:bCs/>
          <w:color w:val="000000" w:themeColor="text1"/>
          <w:sz w:val="24"/>
          <w:highlight w:val="none"/>
          <w:lang w:eastAsia="zh-CN"/>
          <w14:textFill>
            <w14:solidFill>
              <w14:schemeClr w14:val="tx1"/>
            </w14:solidFill>
          </w14:textFill>
        </w:rPr>
        <w:t>属于</w:t>
      </w:r>
      <w:r>
        <w:rPr>
          <w:rFonts w:hint="eastAsia" w:ascii="宋体" w:hAnsi="宋体"/>
          <w:bCs/>
          <w:color w:val="000000" w:themeColor="text1"/>
          <w:sz w:val="24"/>
          <w:highlight w:val="none"/>
          <w14:textFill>
            <w14:solidFill>
              <w14:schemeClr w14:val="tx1"/>
            </w14:solidFill>
          </w14:textFill>
        </w:rPr>
        <w:t>无效投标的情形。</w:t>
      </w:r>
    </w:p>
    <w:p w14:paraId="309479A8">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20332C70">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26.2.1符合专业条件的供应商或者对磋商文件作实质响应的供应商不足三家的。26.2.2出现影响采购公正的违法、违规行为的。</w:t>
      </w:r>
    </w:p>
    <w:p w14:paraId="16AE635F">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4EB09EED">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26.2.4评标委员会认定磋商文件存在歧义、重大缺陷导致评审工作无法进行。</w:t>
      </w:r>
    </w:p>
    <w:p w14:paraId="1D5B329B">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 因</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highlight w:val="none"/>
          <w14:textFill>
            <w14:solidFill>
              <w14:schemeClr w14:val="tx1"/>
            </w14:solidFill>
          </w14:textFill>
        </w:rPr>
        <w:t>故障原因造成开标不成功</w:t>
      </w:r>
      <w:r>
        <w:rPr>
          <w:rFonts w:hint="eastAsia" w:ascii="宋体" w:hAnsi="宋体"/>
          <w:bCs/>
          <w:color w:val="000000" w:themeColor="text1"/>
          <w:sz w:val="24"/>
          <w:highlight w:val="none"/>
          <w14:textFill>
            <w14:solidFill>
              <w14:schemeClr w14:val="tx1"/>
            </w14:solidFill>
          </w14:textFill>
        </w:rPr>
        <w:t>的；</w:t>
      </w:r>
    </w:p>
    <w:p w14:paraId="73E6E602">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26.2.6供应商的报价均超过采购预算，采购人不能支付的。</w:t>
      </w:r>
    </w:p>
    <w:p w14:paraId="028A7DF5">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 投标截止时间结束后参加投标的供应商不足三家的处理：</w:t>
      </w:r>
    </w:p>
    <w:p w14:paraId="03AC1F0B">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26.3.1如出现投标截止时间结束后参加投标的供应商或者在评标期间对磋商文件做出实质响应的供应商不足三家情况，按政府采购相关规定执行。</w:t>
      </w:r>
    </w:p>
    <w:bookmarkEnd w:id="150"/>
    <w:bookmarkEnd w:id="151"/>
    <w:bookmarkEnd w:id="152"/>
    <w:p w14:paraId="0E44BD10">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bookmarkStart w:id="153" w:name="_Toc200451960"/>
      <w:r>
        <w:rPr>
          <w:rFonts w:hint="eastAsia" w:ascii="宋体" w:hAnsi="宋体" w:eastAsia="宋体" w:cs="宋体"/>
          <w:bCs w:val="0"/>
          <w:color w:val="000000" w:themeColor="text1"/>
          <w:highlight w:val="none"/>
          <w:lang w:eastAsia="zh-CN"/>
          <w14:textFill>
            <w14:solidFill>
              <w14:schemeClr w14:val="tx1"/>
            </w14:solidFill>
          </w14:textFill>
        </w:rPr>
        <w:t>27.磋商程序及评审方法与评审标准</w:t>
      </w:r>
    </w:p>
    <w:p w14:paraId="5B2BCA30">
      <w:pPr>
        <w:spacing w:line="500" w:lineRule="exact"/>
        <w:ind w:left="47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27.1磋商程序</w:t>
      </w:r>
    </w:p>
    <w:p w14:paraId="35B52F26">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27.1.1对于通过资格审查和符合性审查的供应商，磋商小组将集中与单一供应商分别进行磋商。磋商小组通过“苏采云”系统向供应商发布“磋商要求函”，供应商应当按照要求在“苏采云”系统提交“磋商响应函”并加盖CA电子公章。</w:t>
      </w:r>
    </w:p>
    <w:p w14:paraId="1BE5A78B">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9655E43">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95C3BED">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Cs/>
          <w:color w:val="000000" w:themeColor="text1"/>
          <w:sz w:val="24"/>
          <w:highlight w:val="none"/>
          <w:lang w:eastAsia="zh-CN"/>
          <w14:textFill>
            <w14:solidFill>
              <w14:schemeClr w14:val="tx1"/>
            </w14:solidFill>
          </w14:textFill>
        </w:rPr>
        <w:t>，并</w:t>
      </w:r>
      <w:r>
        <w:rPr>
          <w:rFonts w:hint="eastAsia" w:ascii="宋体" w:hAnsi="宋体" w:cs="宋体"/>
          <w:bCs/>
          <w:color w:val="000000" w:themeColor="text1"/>
          <w:sz w:val="24"/>
          <w:highlight w:val="none"/>
          <w14:textFill>
            <w14:solidFill>
              <w14:schemeClr w14:val="tx1"/>
            </w14:solidFill>
          </w14:textFill>
        </w:rPr>
        <w:t>在“苏采云”系统中向其发布“最后报价要求函”及最后报价格式表，要求其在规定时间内提交最后报价。</w:t>
      </w:r>
    </w:p>
    <w:p w14:paraId="0625D7DD">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最后报价（也称最终报价）是供应商响应文件的有效组成部分。符合《政府采购竞争性磋商采购方式管理暂行办法》</w:t>
      </w:r>
      <w:r>
        <w:rPr>
          <w:rFonts w:hint="eastAsia" w:ascii="宋体" w:hAnsi="宋体" w:cs="宋体"/>
          <w:bCs/>
          <w:color w:val="000000" w:themeColor="text1"/>
          <w:sz w:val="24"/>
          <w:szCs w:val="24"/>
          <w:highlight w:val="none"/>
          <w14:textFill>
            <w14:solidFill>
              <w14:schemeClr w14:val="tx1"/>
            </w14:solidFill>
          </w14:textFill>
        </w:rPr>
        <w:t>第二十一条第三款</w:t>
      </w:r>
      <w:r>
        <w:rPr>
          <w:rFonts w:hint="eastAsia" w:ascii="宋体" w:hAnsi="宋体" w:cs="宋体"/>
          <w:bCs/>
          <w:color w:val="000000" w:themeColor="text1"/>
          <w:sz w:val="24"/>
          <w:highlight w:val="none"/>
          <w14:textFill>
            <w14:solidFill>
              <w14:schemeClr w14:val="tx1"/>
            </w14:solidFill>
          </w14:textFill>
        </w:rPr>
        <w:t>及《财政部关于竞争性磋商采购方式管理暂行办法有关问题的补充通知》（财库〔2015〕124号）规定情形的，提交最后报价的供应商可以为2家。</w:t>
      </w:r>
    </w:p>
    <w:p w14:paraId="3884EB5B">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AB34280">
      <w:pPr>
        <w:spacing w:line="500" w:lineRule="exact"/>
        <w:ind w:left="47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27.2 评审方法与评审标准</w:t>
      </w:r>
    </w:p>
    <w:p w14:paraId="7C9FD295">
      <w:pPr>
        <w:spacing w:line="500" w:lineRule="exact"/>
        <w:ind w:left="47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27.2.1评审方法</w:t>
      </w:r>
    </w:p>
    <w:p w14:paraId="1B871D85">
      <w:pPr>
        <w:pStyle w:val="344"/>
        <w:spacing w:before="0" w:after="0"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3869EDD7">
      <w:pPr>
        <w:pStyle w:val="344"/>
        <w:spacing w:before="0" w:after="0"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p>
    <w:p w14:paraId="7C1F17DF">
      <w:pPr>
        <w:pStyle w:val="344"/>
        <w:spacing w:before="0" w:after="0" w:line="5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224464D">
      <w:pPr>
        <w:spacing w:line="500" w:lineRule="exact"/>
        <w:ind w:left="47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27.2.2评审标准</w:t>
      </w:r>
    </w:p>
    <w:p w14:paraId="2982D935">
      <w:pPr>
        <w:spacing w:line="500" w:lineRule="exact"/>
        <w:ind w:left="47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详见第五章。</w:t>
      </w:r>
    </w:p>
    <w:bookmarkEnd w:id="153"/>
    <w:p w14:paraId="218A908D">
      <w:pPr>
        <w:pStyle w:val="4"/>
        <w:keepNext w:val="0"/>
        <w:keepLines w:val="0"/>
        <w:spacing w:before="0" w:after="0" w:line="500" w:lineRule="exact"/>
        <w:rPr>
          <w:rFonts w:hint="eastAsia"/>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六、成交</w:t>
      </w:r>
    </w:p>
    <w:p w14:paraId="37374FB0">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bookmarkStart w:id="154" w:name="_Toc20823310"/>
      <w:bookmarkStart w:id="155" w:name="_Toc16938554"/>
      <w:r>
        <w:rPr>
          <w:rFonts w:hint="eastAsia" w:ascii="宋体" w:hAnsi="宋体" w:eastAsia="宋体" w:cs="宋体"/>
          <w:bCs w:val="0"/>
          <w:color w:val="000000" w:themeColor="text1"/>
          <w:highlight w:val="none"/>
          <w:lang w:eastAsia="zh-CN"/>
          <w14:textFill>
            <w14:solidFill>
              <w14:schemeClr w14:val="tx1"/>
            </w14:solidFill>
          </w14:textFill>
        </w:rPr>
        <w:t>28.确定</w:t>
      </w:r>
      <w:bookmarkEnd w:id="154"/>
      <w:bookmarkEnd w:id="155"/>
      <w:r>
        <w:rPr>
          <w:rFonts w:hint="eastAsia" w:ascii="宋体" w:hAnsi="宋体" w:eastAsia="宋体" w:cs="宋体"/>
          <w:bCs w:val="0"/>
          <w:color w:val="000000" w:themeColor="text1"/>
          <w:highlight w:val="none"/>
          <w:lang w:eastAsia="zh-CN"/>
          <w14:textFill>
            <w14:solidFill>
              <w14:schemeClr w14:val="tx1"/>
            </w14:solidFill>
          </w14:textFill>
        </w:rPr>
        <w:t>成交单位</w:t>
      </w:r>
    </w:p>
    <w:p w14:paraId="19FD75C0">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28.1 采购人应根据磋商小组推荐的成交候选</w:t>
      </w:r>
      <w:r>
        <w:rPr>
          <w:rFonts w:hint="eastAsia" w:ascii="宋体" w:hAnsi="宋体" w:cs="宋体"/>
          <w:bCs/>
          <w:color w:val="000000" w:themeColor="text1"/>
          <w:sz w:val="24"/>
          <w:highlight w:val="none"/>
          <w:lang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，按排名先后顺序确定一名成交供应商。</w:t>
      </w:r>
    </w:p>
    <w:p w14:paraId="38532FFF">
      <w:pPr>
        <w:spacing w:line="50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28.2联合体成交的，联合体各方应当共同与采购人签订合同，就成交项目向采购人承担连带责任。</w:t>
      </w:r>
    </w:p>
    <w:p w14:paraId="6564B4C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28.3</w:t>
      </w:r>
      <w:r>
        <w:rPr>
          <w:rFonts w:hint="eastAsia" w:ascii="宋体" w:hAnsi="宋体" w:cs="宋体"/>
          <w:bCs/>
          <w:color w:val="000000" w:themeColor="text1"/>
          <w:sz w:val="24"/>
          <w:highlight w:val="none"/>
          <w14:textFill>
            <w14:solidFill>
              <w14:schemeClr w14:val="tx1"/>
            </w14:solidFill>
          </w14:textFill>
        </w:rPr>
        <w:t>采购人确定成交供应商后，</w:t>
      </w:r>
      <w:r>
        <w:rPr>
          <w:rFonts w:hint="eastAsia" w:ascii="宋体" w:hAnsi="宋体" w:cs="宋体"/>
          <w:color w:val="000000" w:themeColor="text1"/>
          <w:sz w:val="24"/>
          <w:szCs w:val="24"/>
          <w:highlight w:val="none"/>
          <w14:textFill>
            <w14:solidFill>
              <w14:schemeClr w14:val="tx1"/>
            </w14:solidFill>
          </w14:textFill>
        </w:rPr>
        <w:t>将在“无锡政府采购网”“江苏政府采购网”发布成交结果公告，公告期限为1个工作日。</w:t>
      </w:r>
    </w:p>
    <w:p w14:paraId="5E1DAE42">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28.4若有充分证据证明，成交供应商出现下列情况之一的，一经查实，将被取消成交资格：</w:t>
      </w:r>
    </w:p>
    <w:p w14:paraId="14DC0919">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28.4.1提供虚假材料谋取成交的。</w:t>
      </w:r>
    </w:p>
    <w:p w14:paraId="260A969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28.4.2向采购人、交易中心行贿或者提供其他不正当利益的。</w:t>
      </w:r>
    </w:p>
    <w:p w14:paraId="03DCFAB3">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28.4.3属于本文件规定的无效响应条款的，但在评审过程中又未被磋商小组发现的。</w:t>
      </w:r>
    </w:p>
    <w:p w14:paraId="1F1C5FDF">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28.4.4与采购人或者其他供应商恶意串通的。</w:t>
      </w:r>
    </w:p>
    <w:p w14:paraId="215C8233">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28.4.5采取不正当手段诋毁、排挤其他供应商的。</w:t>
      </w:r>
    </w:p>
    <w:p w14:paraId="5F21CF83">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28.4.6</w:t>
      </w:r>
      <w:r>
        <w:rPr>
          <w:rFonts w:hint="eastAsia" w:ascii="宋体" w:hAnsi="宋体" w:cs="宋体"/>
          <w:bCs/>
          <w:color w:val="000000" w:themeColor="text1"/>
          <w:sz w:val="24"/>
          <w:szCs w:val="24"/>
          <w:highlight w:val="none"/>
          <w14:textFill>
            <w14:solidFill>
              <w14:schemeClr w14:val="tx1"/>
            </w14:solidFill>
          </w14:textFill>
        </w:rPr>
        <w:t>在磋商过程中与采购人进行协商谈判、不按照磋商文件和成交供应商的响应文件订立合同，或者与采购人另行订立背离合同实质性内容的协议的；</w:t>
      </w:r>
    </w:p>
    <w:p w14:paraId="420301B9">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28.4.7</w:t>
      </w:r>
      <w:r>
        <w:rPr>
          <w:rFonts w:hint="eastAsia" w:ascii="宋体" w:hAnsi="宋体" w:cs="宋体"/>
          <w:bCs/>
          <w:color w:val="000000" w:themeColor="text1"/>
          <w:sz w:val="24"/>
          <w:szCs w:val="24"/>
          <w:highlight w:val="none"/>
          <w14:textFill>
            <w14:solidFill>
              <w14:schemeClr w14:val="tx1"/>
            </w14:solidFill>
          </w14:textFill>
        </w:rPr>
        <w:t>拒绝有关部门监督检查或者提供虚假情况的。</w:t>
      </w:r>
    </w:p>
    <w:p w14:paraId="5D6C7285">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29.质疑处理</w:t>
      </w:r>
    </w:p>
    <w:p w14:paraId="08098A0F">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B38B20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42AE708F">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29.2.1对可以质疑的采购文件提出质疑的，为收到采购文件之日或者采购文件公告期限届满之日；</w:t>
      </w:r>
    </w:p>
    <w:p w14:paraId="4D4FCD0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29.2.2对采购过程提出质疑的，为各采购程序环节结束之日；</w:t>
      </w:r>
    </w:p>
    <w:p w14:paraId="14676F06">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29.2.3对中标或者成交结果提出质疑的，为中标或者成交结果公告期限届满之日。</w:t>
      </w:r>
    </w:p>
    <w:p w14:paraId="15DE412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供应商应当在法定质疑期内一次性提出针对同一采购程序环节的质疑。供应商如在法定期限内对同一采购程序环节提出多次质疑的，采购代理机构、采购人将只对供应商第一次质疑作出答复。</w:t>
      </w:r>
    </w:p>
    <w:p w14:paraId="0C9A2E95">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29.3</w:t>
      </w:r>
      <w:r>
        <w:rPr>
          <w:rFonts w:hint="eastAsia" w:ascii="宋体" w:hAnsi="宋体" w:cs="宋体"/>
          <w:bCs/>
          <w:color w:val="000000" w:themeColor="text1"/>
          <w:sz w:val="24"/>
          <w:szCs w:val="24"/>
          <w:highlight w:val="none"/>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s="宋体"/>
          <w:color w:val="000000" w:themeColor="text1"/>
          <w:sz w:val="24"/>
          <w:szCs w:val="24"/>
          <w:highlight w:val="none"/>
          <w14:textFill>
            <w14:solidFill>
              <w14:schemeClr w14:val="tx1"/>
            </w14:solidFill>
          </w14:textFill>
        </w:rPr>
        <w:t>供应商如组成联合体参加采购活动，则《质疑函范本》中要求签字、盖章、加盖公章之处，联合体各方均须按要求签字、盖章、加盖公章。</w:t>
      </w:r>
    </w:p>
    <w:p w14:paraId="7F2C82C5">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29.4供应商（含潜在供应商）对项目属性、采购方式、采购需求、供应商资格条件及审查结果、评审方法和评审标准、合同文本的询问、质疑请向采购人提出，由采购人负责答复。供应商对除上述事项以外其他事项的询问、质疑请向采购代理机构提出，由采购代理机构负责答复。</w:t>
      </w:r>
    </w:p>
    <w:p w14:paraId="36C3FE60">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采购人、采购代理机构只接收以纸质原件形式送达的质疑，质疑供应商可通过面交或邮寄方式送达（采购人和采购代理机构不接受未填写快递运单的快件）。</w:t>
      </w:r>
    </w:p>
    <w:p w14:paraId="7677B47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采购人、采购代理机构联系人、联系方式、通信地址见本文件第一章。</w:t>
      </w:r>
    </w:p>
    <w:p w14:paraId="00A6B00E">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29.5 以下情形的质疑不予受理</w:t>
      </w:r>
    </w:p>
    <w:p w14:paraId="708D259E">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29.5.1 内容不符合《政府采购质疑和投诉办法》第十二条规定的质疑。</w:t>
      </w:r>
    </w:p>
    <w:p w14:paraId="436A68C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29.5.2 超出政府采购法定期限的质疑。</w:t>
      </w:r>
    </w:p>
    <w:p w14:paraId="3CC9AB36">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29.5.3 以传真、电子邮件等方式递交的非原件形式的质疑。</w:t>
      </w:r>
    </w:p>
    <w:p w14:paraId="56DE4A3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29.5.4未参加采购活动的供应商或在采购活动中自身权益未受到损害的供应商所提出的质疑。</w:t>
      </w:r>
    </w:p>
    <w:p w14:paraId="3A6729A5">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29.5.5供应商组成联合体参加采购活动，联合体中任何一方或多方未按要求签字、盖章、加盖公章的质疑。</w:t>
      </w:r>
    </w:p>
    <w:p w14:paraId="2E0418A7">
      <w:pPr>
        <w:spacing w:line="500" w:lineRule="exact"/>
        <w:ind w:firstLine="468"/>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29.6供应商提出书面质疑必须有理、有据，</w:t>
      </w:r>
      <w:r>
        <w:rPr>
          <w:rFonts w:hint="eastAsia" w:ascii="宋体" w:hAnsi="宋体" w:cs="宋体"/>
          <w:bCs/>
          <w:color w:val="000000" w:themeColor="text1"/>
          <w:sz w:val="24"/>
          <w:highlight w:val="none"/>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s="宋体"/>
          <w:color w:val="000000" w:themeColor="text1"/>
          <w:sz w:val="24"/>
          <w:szCs w:val="24"/>
          <w:highlight w:val="none"/>
          <w14:textFill>
            <w14:solidFill>
              <w14:schemeClr w14:val="tx1"/>
            </w14:solidFill>
          </w14:textFill>
        </w:rPr>
        <w:t>一经查实，采购代理机构有权依据政府采购的有关规定，报请政府采购监管部门对该供应商进行相应的行政处罚和记录该供应商的失信信息。</w:t>
      </w:r>
    </w:p>
    <w:p w14:paraId="489C2E52">
      <w:pPr>
        <w:pStyle w:val="221"/>
        <w:keepNext w:val="0"/>
        <w:keepLines w:val="0"/>
        <w:spacing w:before="0" w:after="0" w:line="500" w:lineRule="exact"/>
        <w:rPr>
          <w:rFonts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30.成交通知书</w:t>
      </w:r>
    </w:p>
    <w:p w14:paraId="7661169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30.l成交结果确定后，采购代理机构将向成交供应商发出成交通知书。请成交供应商在成交结果公告届满之日起30日内，使用CA数字证书登录</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color w:val="000000" w:themeColor="text1"/>
          <w:sz w:val="24"/>
          <w:szCs w:val="24"/>
          <w:highlight w:val="none"/>
          <w14:textFill>
            <w14:solidFill>
              <w14:schemeClr w14:val="tx1"/>
            </w14:solidFill>
          </w14:textFill>
        </w:rPr>
        <w:t>及时下载成交通知书。因系统存储空间有限，自成交结果公告届满之日起30日后，</w:t>
      </w:r>
      <w:r>
        <w:rPr>
          <w:rFonts w:hint="eastAsia" w:ascii="宋体" w:hAnsi="宋体" w:cs="宋体"/>
          <w:bCs/>
          <w:color w:val="000000" w:themeColor="text1"/>
          <w:sz w:val="24"/>
          <w:szCs w:val="24"/>
          <w:highlight w:val="none"/>
          <w14:textFill>
            <w14:solidFill>
              <w14:schemeClr w14:val="tx1"/>
            </w14:solidFill>
          </w14:textFill>
        </w:rPr>
        <w:t>“苏采云”系统</w:t>
      </w:r>
      <w:r>
        <w:rPr>
          <w:rFonts w:hint="eastAsia" w:ascii="宋体" w:hAnsi="宋体" w:cs="宋体"/>
          <w:color w:val="000000" w:themeColor="text1"/>
          <w:sz w:val="24"/>
          <w:szCs w:val="24"/>
          <w:highlight w:val="none"/>
          <w14:textFill>
            <w14:solidFill>
              <w14:schemeClr w14:val="tx1"/>
            </w14:solidFill>
          </w14:textFill>
        </w:rPr>
        <w:t>不再保证提供下载成交通知书服务，因未及时下载而造成的不利后果由成交供应商自行承担。</w:t>
      </w:r>
    </w:p>
    <w:p w14:paraId="1081E1A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30.2成交通知书将是合同的一个组成部分。对采购人和成交供应商均具有法律效力。成交通知书发出后，采购人改变成交结果的，或者成交供应商放弃成交项目的，应当依法承担法律责任。</w:t>
      </w:r>
    </w:p>
    <w:p w14:paraId="6A86A30E">
      <w:pPr>
        <w:pStyle w:val="6"/>
        <w:keepNext w:val="0"/>
        <w:keepLines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31.代理服务费：</w:t>
      </w:r>
    </w:p>
    <w:p w14:paraId="73D963F3">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w:t>
      </w:r>
      <w:r>
        <w:rPr>
          <w:rFonts w:hint="eastAsia" w:ascii="宋体" w:hAnsi="宋体"/>
          <w:bCs/>
          <w:color w:val="000000" w:themeColor="text1"/>
          <w:sz w:val="24"/>
          <w:highlight w:val="none"/>
          <w14:textFill>
            <w14:solidFill>
              <w14:schemeClr w14:val="tx1"/>
            </w14:solidFill>
          </w14:textFill>
        </w:rPr>
        <w:t>成交供应商在领取成交通知书时向代理机构支付采购代理服务费。采购代理服务费以中标金额为计费基础，按差额定率累进法计算，</w:t>
      </w:r>
      <w:r>
        <w:rPr>
          <w:rFonts w:hint="eastAsia" w:ascii="宋体" w:hAnsi="宋体"/>
          <w:b/>
          <w:bCs w:val="0"/>
          <w:color w:val="000000" w:themeColor="text1"/>
          <w:sz w:val="24"/>
          <w:highlight w:val="none"/>
          <w:u w:val="single"/>
          <w14:textFill>
            <w14:solidFill>
              <w14:schemeClr w14:val="tx1"/>
            </w14:solidFill>
          </w14:textFill>
        </w:rPr>
        <w:t>代理费计费费率：100万元及以下的费率为1.0%*</w:t>
      </w:r>
      <w:r>
        <w:rPr>
          <w:rFonts w:hint="eastAsia" w:ascii="宋体" w:hAnsi="宋体" w:cs="宋体"/>
          <w:b/>
          <w:color w:val="000000" w:themeColor="text1"/>
          <w:sz w:val="24"/>
          <w:highlight w:val="none"/>
          <w:u w:val="single"/>
          <w14:textFill>
            <w14:solidFill>
              <w14:schemeClr w14:val="tx1"/>
            </w14:solidFill>
          </w14:textFill>
        </w:rPr>
        <w:t>52.67%</w:t>
      </w:r>
      <w:r>
        <w:rPr>
          <w:rFonts w:hint="eastAsia" w:ascii="宋体" w:hAnsi="宋体"/>
          <w:b/>
          <w:bCs w:val="0"/>
          <w:color w:val="000000" w:themeColor="text1"/>
          <w:sz w:val="24"/>
          <w:highlight w:val="none"/>
          <w:u w:val="single"/>
          <w14:textFill>
            <w14:solidFill>
              <w14:schemeClr w14:val="tx1"/>
            </w14:solidFill>
          </w14:textFill>
        </w:rPr>
        <w:t>，100万元-500万元费率为0.7%*</w:t>
      </w:r>
      <w:r>
        <w:rPr>
          <w:rFonts w:hint="eastAsia" w:ascii="宋体" w:hAnsi="宋体" w:cs="宋体"/>
          <w:b/>
          <w:color w:val="000000" w:themeColor="text1"/>
          <w:sz w:val="24"/>
          <w:highlight w:val="none"/>
          <w:u w:val="single"/>
          <w14:textFill>
            <w14:solidFill>
              <w14:schemeClr w14:val="tx1"/>
            </w14:solidFill>
          </w14:textFill>
        </w:rPr>
        <w:t>52.67%</w:t>
      </w:r>
      <w:r>
        <w:rPr>
          <w:rFonts w:hint="eastAsia" w:ascii="宋体" w:hAnsi="宋体"/>
          <w:b/>
          <w:bCs w:val="0"/>
          <w:color w:val="000000" w:themeColor="text1"/>
          <w:sz w:val="24"/>
          <w:highlight w:val="none"/>
          <w:u w:val="single"/>
          <w14:textFill>
            <w14:solidFill>
              <w14:schemeClr w14:val="tx1"/>
            </w14:solidFill>
          </w14:textFill>
        </w:rPr>
        <w:t>。</w:t>
      </w:r>
    </w:p>
    <w:p w14:paraId="0FB81951">
      <w:pPr>
        <w:pStyle w:val="4"/>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56" w:name="_Toc120614220"/>
      <w:bookmarkStart w:id="157" w:name="_Toc20823308"/>
      <w:bookmarkStart w:id="158" w:name="_Toc16938552"/>
      <w:bookmarkStart w:id="159" w:name="_Toc513029236"/>
      <w:r>
        <w:rPr>
          <w:rFonts w:hint="eastAsia"/>
          <w:color w:val="000000" w:themeColor="text1"/>
          <w:sz w:val="30"/>
          <w:szCs w:val="30"/>
          <w:highlight w:val="none"/>
          <w14:textFill>
            <w14:solidFill>
              <w14:schemeClr w14:val="tx1"/>
            </w14:solidFill>
          </w14:textFill>
        </w:rPr>
        <w:t>七、授予合同</w:t>
      </w:r>
      <w:bookmarkEnd w:id="156"/>
    </w:p>
    <w:bookmarkEnd w:id="157"/>
    <w:bookmarkEnd w:id="158"/>
    <w:bookmarkEnd w:id="159"/>
    <w:p w14:paraId="6FD4A691">
      <w:pPr>
        <w:pStyle w:val="6"/>
        <w:keepNext w:val="0"/>
        <w:keepLines w:val="0"/>
        <w:spacing w:before="0" w:after="0" w:line="500" w:lineRule="exact"/>
        <w:rPr>
          <w:rFonts w:ascii="宋体" w:hAnsi="宋体" w:eastAsia="宋体"/>
          <w:bCs w:val="0"/>
          <w:color w:val="000000" w:themeColor="text1"/>
          <w:highlight w:val="none"/>
          <w14:textFill>
            <w14:solidFill>
              <w14:schemeClr w14:val="tx1"/>
            </w14:solidFill>
          </w14:textFill>
        </w:rPr>
      </w:pPr>
      <w:bookmarkStart w:id="160" w:name="_Toc513029237"/>
      <w:bookmarkStart w:id="161" w:name="_Toc20823309"/>
      <w:bookmarkStart w:id="162" w:name="_Toc16938553"/>
      <w:r>
        <w:rPr>
          <w:rFonts w:hint="eastAsia" w:ascii="宋体" w:hAnsi="宋体" w:eastAsia="宋体"/>
          <w:bCs w:val="0"/>
          <w:color w:val="000000" w:themeColor="text1"/>
          <w:highlight w:val="none"/>
          <w14:textFill>
            <w14:solidFill>
              <w14:schemeClr w14:val="tx1"/>
            </w14:solidFill>
          </w14:textFill>
        </w:rPr>
        <w:t>32.签订合同</w:t>
      </w:r>
    </w:p>
    <w:p w14:paraId="0B8F0686">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32.1采购人应当自中标通知书发出之日起三十日内，按照磋商文件和成交供应商响应文件的约定，与成交供应商签订政府采购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color w:val="000000" w:themeColor="text1"/>
          <w:sz w:val="24"/>
          <w:szCs w:val="24"/>
          <w:highlight w:val="none"/>
          <w14:textFill>
            <w14:solidFill>
              <w14:schemeClr w14:val="tx1"/>
            </w14:solidFill>
          </w14:textFill>
        </w:rPr>
        <w:t>磋商文件、成交供应商的响应文件及招标过程中有关澄清、承诺文件均应作为合同附件。</w:t>
      </w:r>
    </w:p>
    <w:p w14:paraId="03B3CFF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32.2成交供应商非因不可抗力未履行招、响应文件和合同规定的义务，一经查实，代理机构将根据具体情况提请政府采购管理部门作出相应处理。</w:t>
      </w:r>
    </w:p>
    <w:p w14:paraId="655566FE">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32.3签订合同后，成交供应商不得将合同标的进行转包。未经采购人同意，成交供应商也不得采用分包的形式履行合同，否则采购人有权终止合同。转包或分包造成采购人损失的，成交供应商应承担相应赔偿责任。</w:t>
      </w:r>
    </w:p>
    <w:p w14:paraId="259D05AC">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p>
    <w:p w14:paraId="2979BFCB">
      <w:pPr>
        <w:pStyle w:val="6"/>
        <w:keepNext w:val="0"/>
        <w:keepLines w:val="0"/>
        <w:spacing w:before="0" w:after="0" w:line="500" w:lineRule="exact"/>
        <w:ind w:firstLine="422"/>
        <w:rPr>
          <w:rFonts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33.服务（包含与服务相关的货物）的追加</w:t>
      </w:r>
    </w:p>
    <w:p w14:paraId="1E2096B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33.1政府采购合同履行中，采购人需追加与合同标的相同的服务（包含与服务相关的货物），在不改变合同其他条款的前提下，可以与成交供应商协商签订补充合同，但所有补充合同的采购金额不超过原合同金额的10%。</w:t>
      </w:r>
    </w:p>
    <w:bookmarkEnd w:id="160"/>
    <w:bookmarkEnd w:id="161"/>
    <w:bookmarkEnd w:id="162"/>
    <w:p w14:paraId="74BDE059">
      <w:pPr>
        <w:spacing w:line="360" w:lineRule="auto"/>
        <w:ind w:firstLine="480"/>
        <w:jc w:val="left"/>
        <w:rPr>
          <w:rFonts w:hint="eastAsia" w:ascii="宋体" w:hAnsi="宋体" w:cs="宋体"/>
          <w:bCs/>
          <w:color w:val="000000" w:themeColor="text1"/>
          <w:sz w:val="24"/>
          <w:highlight w:val="none"/>
          <w14:textFill>
            <w14:solidFill>
              <w14:schemeClr w14:val="tx1"/>
            </w14:solidFill>
          </w14:textFill>
        </w:rPr>
      </w:pPr>
    </w:p>
    <w:p w14:paraId="2F92092A">
      <w:pPr>
        <w:spacing w:line="360" w:lineRule="auto"/>
        <w:ind w:firstLine="883"/>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br w:type="page" w:clear="all"/>
      </w:r>
      <w:r>
        <w:rPr>
          <w:rFonts w:hint="eastAsia" w:ascii="宋体" w:hAnsi="宋体" w:cs="宋体"/>
          <w:b/>
          <w:bCs/>
          <w:color w:val="000000" w:themeColor="text1"/>
          <w:sz w:val="44"/>
          <w:szCs w:val="44"/>
          <w:highlight w:val="none"/>
          <w:lang w:eastAsia="zh-CN"/>
          <w14:textFill>
            <w14:solidFill>
              <w14:schemeClr w14:val="tx1"/>
            </w14:solidFill>
          </w14:textFill>
        </w:rPr>
        <w:t>三、</w:t>
      </w:r>
      <w:bookmarkStart w:id="163" w:name="_Toc231463948"/>
      <w:r>
        <w:rPr>
          <w:rFonts w:hint="eastAsia" w:ascii="宋体" w:hAnsi="宋体" w:cs="宋体"/>
          <w:b/>
          <w:bCs/>
          <w:color w:val="000000" w:themeColor="text1"/>
          <w:sz w:val="44"/>
          <w:szCs w:val="44"/>
          <w:highlight w:val="none"/>
          <w14:textFill>
            <w14:solidFill>
              <w14:schemeClr w14:val="tx1"/>
            </w14:solidFill>
          </w14:textFill>
        </w:rPr>
        <w:t>项目需求及有关说明</w:t>
      </w:r>
    </w:p>
    <w:bookmarkEnd w:id="163"/>
    <w:p w14:paraId="2C5E82CD">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（一）工程概况及要求：</w:t>
      </w:r>
    </w:p>
    <w:p w14:paraId="7DC0A3A6">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1.</w:t>
      </w:r>
      <w:r>
        <w:rPr>
          <w:rFonts w:hint="eastAsia"/>
          <w:color w:val="000000" w:themeColor="text1"/>
          <w:sz w:val="24"/>
          <w:highlight w:val="none"/>
          <w14:textFill>
            <w14:solidFill>
              <w14:schemeClr w14:val="tx1"/>
            </w14:solidFill>
          </w14:textFill>
        </w:rPr>
        <w:t>主要是对医院现有建筑及其附属设施的应需性、应急性修缮改造。如门、窗、各类家具、内墙、外墙、天棚吊顶、屋面防水、室内外地面、车棚、围墙等院内各类零星修缮及布局调整零星改造。仅限单项总价预算金额低于10万元的项目。</w:t>
      </w:r>
    </w:p>
    <w:p w14:paraId="2640F654">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2.</w:t>
      </w:r>
      <w:r>
        <w:rPr>
          <w:rFonts w:hint="eastAsia"/>
          <w:color w:val="000000" w:themeColor="text1"/>
          <w:sz w:val="24"/>
          <w:highlight w:val="none"/>
          <w14:textFill>
            <w14:solidFill>
              <w14:schemeClr w14:val="tx1"/>
            </w14:solidFill>
          </w14:textFill>
        </w:rPr>
        <w:t>工程范围：按实际的工程图纸范围</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工程质量必须达到合格。</w:t>
      </w:r>
    </w:p>
    <w:p w14:paraId="5A78BA5D">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3.</w:t>
      </w:r>
      <w:r>
        <w:rPr>
          <w:rFonts w:hint="eastAsia"/>
          <w:color w:val="000000" w:themeColor="text1"/>
          <w:sz w:val="24"/>
          <w:highlight w:val="none"/>
          <w14:textFill>
            <w14:solidFill>
              <w14:schemeClr w14:val="tx1"/>
            </w14:solidFill>
          </w14:textFill>
        </w:rPr>
        <w:t>工程质量标准：中华人民共和国《建筑工程施工质量验收统一标准》等建筑工程施工质量验收规范的合格标准。</w:t>
      </w:r>
    </w:p>
    <w:p w14:paraId="0FD21192">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4.</w:t>
      </w:r>
      <w:r>
        <w:rPr>
          <w:rFonts w:hint="eastAsia"/>
          <w:color w:val="000000" w:themeColor="text1"/>
          <w:sz w:val="24"/>
          <w:highlight w:val="none"/>
          <w14:textFill>
            <w14:solidFill>
              <w14:schemeClr w14:val="tx1"/>
            </w14:solidFill>
          </w14:textFill>
        </w:rPr>
        <w:t>工程规范以现行的或承担具体施工任务期间国家和行业新颁布施行的规范、规程为准。</w:t>
      </w:r>
    </w:p>
    <w:p w14:paraId="08C62C25">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5.</w:t>
      </w:r>
      <w:r>
        <w:rPr>
          <w:rFonts w:hint="eastAsia"/>
          <w:color w:val="000000" w:themeColor="text1"/>
          <w:sz w:val="24"/>
          <w:highlight w:val="none"/>
          <w14:textFill>
            <w14:solidFill>
              <w14:schemeClr w14:val="tx1"/>
            </w14:solidFill>
          </w14:textFill>
        </w:rPr>
        <w:t>中标方项目负责人对建设工程项目的安全施工负责，落实安全生产责任制度、安全生产规章和操作规程，并根据工程的特点组织制定安全施工措施，消除安全事故隐患，及时、如实报告安全生产事故。</w:t>
      </w:r>
    </w:p>
    <w:p w14:paraId="032DF983">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6.</w:t>
      </w:r>
      <w:r>
        <w:rPr>
          <w:rFonts w:hint="eastAsia"/>
          <w:color w:val="000000" w:themeColor="text1"/>
          <w:sz w:val="24"/>
          <w:highlight w:val="none"/>
          <w14:textFill>
            <w14:solidFill>
              <w14:schemeClr w14:val="tx1"/>
            </w14:solidFill>
          </w14:textFill>
        </w:rPr>
        <w:t>中标方要按规定在项目上设立安全管理机构，配备专职安全生产管理人员，并切实</w:t>
      </w:r>
      <w:r>
        <w:rPr>
          <w:rFonts w:hint="eastAsia"/>
          <w:color w:val="000000" w:themeColor="text1"/>
          <w:sz w:val="24"/>
          <w:highlight w:val="none"/>
          <w:lang w:eastAsia="zh-CN"/>
          <w14:textFill>
            <w14:solidFill>
              <w14:schemeClr w14:val="tx1"/>
            </w14:solidFill>
          </w14:textFill>
        </w:rPr>
        <w:t>履行</w:t>
      </w:r>
      <w:r>
        <w:rPr>
          <w:rFonts w:hint="eastAsia"/>
          <w:color w:val="000000" w:themeColor="text1"/>
          <w:sz w:val="24"/>
          <w:highlight w:val="none"/>
          <w14:textFill>
            <w14:solidFill>
              <w14:schemeClr w14:val="tx1"/>
            </w14:solidFill>
          </w14:textFill>
        </w:rPr>
        <w:t>项目施工中的安全监督管理职责，记好现场安全日记。</w:t>
      </w:r>
    </w:p>
    <w:p w14:paraId="461D932F">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7.</w:t>
      </w:r>
      <w:r>
        <w:rPr>
          <w:rFonts w:hint="eastAsia"/>
          <w:color w:val="000000" w:themeColor="text1"/>
          <w:sz w:val="24"/>
          <w:highlight w:val="none"/>
          <w14:textFill>
            <w14:solidFill>
              <w14:schemeClr w14:val="tx1"/>
            </w14:solidFill>
          </w14:textFill>
        </w:rPr>
        <w:t>本项目南、北院区均需按采购人要求常驻医院至少2人（项目负责人及驻场人员年龄需≤58周岁），必须能及时处理各类应急事项。</w:t>
      </w:r>
    </w:p>
    <w:p w14:paraId="6E41B087">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8.</w:t>
      </w:r>
      <w:r>
        <w:rPr>
          <w:rFonts w:hint="eastAsia"/>
          <w:color w:val="000000" w:themeColor="text1"/>
          <w:sz w:val="24"/>
          <w:highlight w:val="none"/>
          <w14:textFill>
            <w14:solidFill>
              <w14:schemeClr w14:val="tx1"/>
            </w14:solidFill>
          </w14:textFill>
        </w:rPr>
        <w:t>中标方需要具备按照规范计算、编制工程造价材料的能力。</w:t>
      </w:r>
    </w:p>
    <w:p w14:paraId="7F364DD4">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9.</w:t>
      </w:r>
      <w:r>
        <w:rPr>
          <w:rFonts w:hint="eastAsia"/>
          <w:color w:val="000000" w:themeColor="text1"/>
          <w:sz w:val="24"/>
          <w:highlight w:val="none"/>
          <w14:textFill>
            <w14:solidFill>
              <w14:schemeClr w14:val="tx1"/>
            </w14:solidFill>
          </w14:textFill>
        </w:rPr>
        <w:t>其他注意事项：</w:t>
      </w:r>
    </w:p>
    <w:p w14:paraId="657D3943">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（1）在具体项目施工期间，中标单位应根据江苏省相关文件规定、现行标准和合同文件关于农民工工伤保险的约定，负责购买农民工工伤保险。</w:t>
      </w:r>
    </w:p>
    <w:p w14:paraId="4D1026E4">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（2）凡涉及影响建筑风格、档次的设备、材料，采购前其品牌、质量、规格、颜色等必须获得采购人的书面确认。</w:t>
      </w:r>
    </w:p>
    <w:p w14:paraId="38FBD5ED">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（二）施工要求：</w:t>
      </w:r>
    </w:p>
    <w:p w14:paraId="1395641E">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施工期间，施工方需遵守医院各项规章制度，服从管理人员和保安的管理。</w:t>
      </w:r>
    </w:p>
    <w:p w14:paraId="542C89A4">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（三）服务内容：</w:t>
      </w:r>
    </w:p>
    <w:p w14:paraId="669985A1">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零星修缮常见项目（包含但不限于）：</w:t>
      </w:r>
    </w:p>
    <w:p w14:paraId="02A85918">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 一般砖墙砌筑施工项目；</w:t>
      </w:r>
    </w:p>
    <w:p w14:paraId="1B6D5155">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 矿棉板、石膏板吊顶施工项目；</w:t>
      </w:r>
    </w:p>
    <w:p w14:paraId="2610933E">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 轻钢龙骨纸面石膏板隔墙施工项目；</w:t>
      </w:r>
    </w:p>
    <w:p w14:paraId="083E914C">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 金属饰面施工项目；</w:t>
      </w:r>
    </w:p>
    <w:p w14:paraId="3C9520C7">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 构造柱、圈梁钢筋绑扎施工项目；</w:t>
      </w:r>
    </w:p>
    <w:p w14:paraId="31141537">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 铝合金门窗安装施工项目；</w:t>
      </w:r>
    </w:p>
    <w:p w14:paraId="40C86E7C">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 装饰抹灰施工项目；</w:t>
      </w:r>
    </w:p>
    <w:p w14:paraId="3006B887">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 普通混凝土现场拌制施工项目；</w:t>
      </w:r>
    </w:p>
    <w:p w14:paraId="064EABAC">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 常见建筑漏水、渗水问题及其处理施工工艺；</w:t>
      </w:r>
    </w:p>
    <w:p w14:paraId="0BDAE790">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10. 墙面陶瓷饰面砖施工项目（釉面砖、通体砖等）：</w:t>
      </w:r>
    </w:p>
    <w:p w14:paraId="58B125C5">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 普通内墙墙面、天棚粉刷施工项目；</w:t>
      </w:r>
    </w:p>
    <w:p w14:paraId="6416C7D7">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 常见落地式钢管脚手架的搭设、使用和拆除项目；</w:t>
      </w:r>
    </w:p>
    <w:p w14:paraId="3B47B024">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13. 常见施工防火及安全生产措施</w:t>
      </w:r>
    </w:p>
    <w:p w14:paraId="0A98765E">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供应商针对各项零星修缮工程，制定恰当可行的方案，包括但不限于以下几种方案：</w:t>
      </w:r>
    </w:p>
    <w:p w14:paraId="4A29939A">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1）总体概述：常见的施工工艺及其特点、优缺点、适用条件对比，施工段划分原则等；</w:t>
      </w:r>
    </w:p>
    <w:p w14:paraId="5F24791C">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2）施工现场平面布置原则或临时围挡设施、既有设施保护措施； </w:t>
      </w:r>
    </w:p>
    <w:p w14:paraId="5D99C621">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3）施工进度计划和各阶段进度的保证措施（如涉及多阶段施工的）； </w:t>
      </w:r>
    </w:p>
    <w:p w14:paraId="3A2A4B5F">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4）各类工程的质量保证措施； </w:t>
      </w:r>
    </w:p>
    <w:p w14:paraId="083728B5">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5）其他安全文明施工及环境保护措施； </w:t>
      </w:r>
    </w:p>
    <w:p w14:paraId="02044900">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6）劳动力、机械设备和材料投入计划及响应时间。</w:t>
      </w:r>
    </w:p>
    <w:p w14:paraId="14396E2D">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四、商务要求：（商务要求及评分等）</w:t>
      </w:r>
    </w:p>
    <w:p w14:paraId="76B93671">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（一）结算方式：供应商日常项目报价按照《GB/T50500-2024 建设工程工程量清单计价规范》要求，参考“分部分项工程量清单与计价表”形式上报，按规范列明项目的分部分项项目编码、项目名称、项目特征、计量单位、工程量、综合单价。综合单价的价格组价定额依据为《江苏省建筑与装饰工程计价表2014版</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江苏省安装工程计价表2014版</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江苏省建筑工程费用定额》及无锡地区的配套规定的定额（例如前述规范中没有的项目也可参考江苏省房屋修缮工程计价表2009）等，消耗量严格按照《江苏省建筑与装饰工程计价表2014版</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江苏省安装工程计价表2014版</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江苏省建筑工程费用定额》及无锡地区的配套规定的定额数量计算，费用标准按照《江苏省建筑工程费用定额》最新版确定。综合单价组价格式可参考《GB/T50500-2024建设工程工程量清单计价规范》中“工程量清单综合单价分析表”表单格式，相关台账材料供应商自身留存，视审计单位需要备查。项目报价在立项审批前及竣工完成后须经医院零星改造项目工程造价第三方审计单位审核确认，竣工结算总价按中标让利系数让利：最终工程结算造价=经采购人委托的咨询公司审核后的工程结算造价（包含人工、材料、机械等所有费用）*</w:t>
      </w:r>
      <w:r>
        <w:rPr>
          <w:rFonts w:hint="eastAsia"/>
          <w:color w:val="000000" w:themeColor="text1"/>
          <w:sz w:val="24"/>
          <w:highlight w:val="none"/>
          <w:lang w:eastAsia="zh-CN"/>
          <w14:textFill>
            <w14:solidFill>
              <w14:schemeClr w14:val="tx1"/>
            </w14:solidFill>
          </w14:textFill>
        </w:rPr>
        <w:t>（1-优惠率）</w:t>
      </w:r>
      <w:r>
        <w:rPr>
          <w:rFonts w:hint="eastAsia"/>
          <w:color w:val="000000" w:themeColor="text1"/>
          <w:sz w:val="24"/>
          <w:highlight w:val="none"/>
          <w14:textFill>
            <w14:solidFill>
              <w14:schemeClr w14:val="tx1"/>
            </w14:solidFill>
          </w14:textFill>
        </w:rPr>
        <w:t>。</w:t>
      </w:r>
    </w:p>
    <w:p w14:paraId="3173CA50">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本工程无预付款。每季度支付一次工程款</w:t>
      </w:r>
      <w:r>
        <w:rPr>
          <w:rFonts w:hint="eastAsia"/>
          <w:color w:val="000000" w:themeColor="text1"/>
          <w:sz w:val="24"/>
          <w:highlight w:val="none"/>
          <w:lang w:eastAsia="zh-CN"/>
          <w14:textFill>
            <w14:solidFill>
              <w14:schemeClr w14:val="tx1"/>
            </w14:solidFill>
          </w14:textFill>
        </w:rPr>
        <w:t>，中标方需在</w:t>
      </w:r>
      <w:r>
        <w:rPr>
          <w:rFonts w:hint="eastAsia"/>
          <w:color w:val="000000" w:themeColor="text1"/>
          <w:sz w:val="24"/>
          <w:highlight w:val="none"/>
          <w14:textFill>
            <w14:solidFill>
              <w14:schemeClr w14:val="tx1"/>
            </w14:solidFill>
          </w14:textFill>
        </w:rPr>
        <w:t>每季度期满后28天内提供全部结算资料，由</w:t>
      </w:r>
      <w:r>
        <w:rPr>
          <w:rFonts w:hint="eastAsia"/>
          <w:color w:val="000000" w:themeColor="text1"/>
          <w:sz w:val="24"/>
          <w:highlight w:val="none"/>
          <w:lang w:eastAsia="zh-CN"/>
          <w14:textFill>
            <w14:solidFill>
              <w14:schemeClr w14:val="tx1"/>
            </w14:solidFill>
          </w14:textFill>
        </w:rPr>
        <w:t>院方</w:t>
      </w:r>
      <w:r>
        <w:rPr>
          <w:rFonts w:hint="eastAsia"/>
          <w:color w:val="000000" w:themeColor="text1"/>
          <w:sz w:val="24"/>
          <w:highlight w:val="none"/>
          <w14:textFill>
            <w14:solidFill>
              <w14:schemeClr w14:val="tx1"/>
            </w14:solidFill>
          </w14:textFill>
        </w:rPr>
        <w:t>委托具备工程造价审核资质的</w:t>
      </w:r>
      <w:r>
        <w:rPr>
          <w:rFonts w:hint="eastAsia"/>
          <w:color w:val="000000" w:themeColor="text1"/>
          <w:sz w:val="24"/>
          <w:highlight w:val="none"/>
          <w:lang w:eastAsia="zh-CN"/>
          <w14:textFill>
            <w14:solidFill>
              <w14:schemeClr w14:val="tx1"/>
            </w14:solidFill>
          </w14:textFill>
        </w:rPr>
        <w:t>第三方审计</w:t>
      </w:r>
      <w:r>
        <w:rPr>
          <w:rFonts w:hint="eastAsia"/>
          <w:color w:val="000000" w:themeColor="text1"/>
          <w:sz w:val="24"/>
          <w:highlight w:val="none"/>
          <w14:textFill>
            <w14:solidFill>
              <w14:schemeClr w14:val="tx1"/>
            </w14:solidFill>
          </w14:textFill>
        </w:rPr>
        <w:t>机构进行结算审核，审计结果由双方确认后作为结算依据。</w:t>
      </w:r>
      <w:r>
        <w:rPr>
          <w:rFonts w:hint="eastAsia"/>
          <w:color w:val="000000" w:themeColor="text1"/>
          <w:sz w:val="24"/>
          <w:highlight w:val="none"/>
          <w:lang w:eastAsia="zh-CN"/>
          <w14:textFill>
            <w14:solidFill>
              <w14:schemeClr w14:val="tx1"/>
            </w14:solidFill>
          </w14:textFill>
        </w:rPr>
        <w:t>如</w:t>
      </w:r>
      <w:r>
        <w:rPr>
          <w:rFonts w:hint="eastAsia"/>
          <w:color w:val="000000" w:themeColor="text1"/>
          <w:sz w:val="24"/>
          <w:highlight w:val="none"/>
          <w14:textFill>
            <w14:solidFill>
              <w14:schemeClr w14:val="tx1"/>
            </w14:solidFill>
          </w14:textFill>
        </w:rPr>
        <w:t>核减额</w:t>
      </w:r>
      <w:r>
        <w:rPr>
          <w:rFonts w:hint="eastAsia"/>
          <w:color w:val="000000" w:themeColor="text1"/>
          <w:sz w:val="24"/>
          <w:highlight w:val="none"/>
          <w:lang w:eastAsia="zh-CN"/>
          <w14:textFill>
            <w14:solidFill>
              <w14:schemeClr w14:val="tx1"/>
            </w14:solidFill>
          </w14:textFill>
        </w:rPr>
        <w:t>在送审金额</w:t>
      </w:r>
      <w:r>
        <w:rPr>
          <w:rFonts w:hint="eastAsia"/>
          <w:color w:val="000000" w:themeColor="text1"/>
          <w:sz w:val="24"/>
          <w:highlight w:val="none"/>
          <w14:textFill>
            <w14:solidFill>
              <w14:schemeClr w14:val="tx1"/>
            </w14:solidFill>
          </w14:textFill>
        </w:rPr>
        <w:t>5%以内（含5%）</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审计</w:t>
      </w:r>
      <w:r>
        <w:rPr>
          <w:rFonts w:hint="eastAsia"/>
          <w:color w:val="000000" w:themeColor="text1"/>
          <w:sz w:val="24"/>
          <w:highlight w:val="none"/>
          <w:lang w:eastAsia="zh-CN"/>
          <w14:textFill>
            <w14:solidFill>
              <w14:schemeClr w14:val="tx1"/>
            </w14:solidFill>
          </w14:textFill>
        </w:rPr>
        <w:t>费用</w:t>
      </w:r>
      <w:r>
        <w:rPr>
          <w:rFonts w:hint="eastAsia"/>
          <w:color w:val="000000" w:themeColor="text1"/>
          <w:sz w:val="24"/>
          <w:highlight w:val="none"/>
          <w14:textFill>
            <w14:solidFill>
              <w14:schemeClr w14:val="tx1"/>
            </w14:solidFill>
          </w14:textFill>
        </w:rPr>
        <w:t>由</w:t>
      </w:r>
      <w:r>
        <w:rPr>
          <w:rFonts w:hint="eastAsia"/>
          <w:color w:val="000000" w:themeColor="text1"/>
          <w:sz w:val="24"/>
          <w:highlight w:val="none"/>
          <w:lang w:eastAsia="zh-CN"/>
          <w14:textFill>
            <w14:solidFill>
              <w14:schemeClr w14:val="tx1"/>
            </w14:solidFill>
          </w14:textFill>
        </w:rPr>
        <w:t>院</w:t>
      </w:r>
      <w:r>
        <w:rPr>
          <w:rFonts w:hint="eastAsia"/>
          <w:color w:val="000000" w:themeColor="text1"/>
          <w:sz w:val="24"/>
          <w:highlight w:val="none"/>
          <w14:textFill>
            <w14:solidFill>
              <w14:schemeClr w14:val="tx1"/>
            </w14:solidFill>
          </w14:textFill>
        </w:rPr>
        <w:t>方承担</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核减额超过</w:t>
      </w:r>
      <w:r>
        <w:rPr>
          <w:rFonts w:hint="eastAsia"/>
          <w:color w:val="000000" w:themeColor="text1"/>
          <w:sz w:val="24"/>
          <w:highlight w:val="none"/>
          <w:lang w:eastAsia="zh-CN"/>
          <w14:textFill>
            <w14:solidFill>
              <w14:schemeClr w14:val="tx1"/>
            </w14:solidFill>
          </w14:textFill>
        </w:rPr>
        <w:t>送审金额</w:t>
      </w:r>
      <w:r>
        <w:rPr>
          <w:rFonts w:hint="eastAsia"/>
          <w:color w:val="000000" w:themeColor="text1"/>
          <w:sz w:val="24"/>
          <w:highlight w:val="none"/>
          <w14:textFill>
            <w14:solidFill>
              <w14:schemeClr w14:val="tx1"/>
            </w14:solidFill>
          </w14:textFill>
        </w:rPr>
        <w:t>5%时所有审计费用由</w:t>
      </w:r>
      <w:r>
        <w:rPr>
          <w:rFonts w:hint="eastAsia"/>
          <w:color w:val="000000" w:themeColor="text1"/>
          <w:sz w:val="24"/>
          <w:highlight w:val="none"/>
          <w:lang w:eastAsia="zh-CN"/>
          <w14:textFill>
            <w14:solidFill>
              <w14:schemeClr w14:val="tx1"/>
            </w14:solidFill>
          </w14:textFill>
        </w:rPr>
        <w:t>中标方</w:t>
      </w:r>
      <w:r>
        <w:rPr>
          <w:rFonts w:hint="eastAsia"/>
          <w:color w:val="000000" w:themeColor="text1"/>
          <w:sz w:val="24"/>
          <w:highlight w:val="none"/>
          <w14:textFill>
            <w14:solidFill>
              <w14:schemeClr w14:val="tx1"/>
            </w14:solidFill>
          </w14:textFill>
        </w:rPr>
        <w:t>承担。最终工程结算造价</w:t>
      </w:r>
      <w:r>
        <w:rPr>
          <w:rFonts w:hint="eastAsia"/>
          <w:color w:val="000000" w:themeColor="text1"/>
          <w:sz w:val="24"/>
          <w:highlight w:val="none"/>
          <w:lang w:eastAsia="zh-CN"/>
          <w14:textFill>
            <w14:solidFill>
              <w14:schemeClr w14:val="tx1"/>
            </w14:solidFill>
          </w14:textFill>
        </w:rPr>
        <w:t>为</w:t>
      </w:r>
      <w:r>
        <w:rPr>
          <w:rFonts w:hint="eastAsia"/>
          <w:color w:val="000000" w:themeColor="text1"/>
          <w:sz w:val="24"/>
          <w:highlight w:val="none"/>
          <w14:textFill>
            <w14:solidFill>
              <w14:schemeClr w14:val="tx1"/>
            </w14:solidFill>
          </w14:textFill>
        </w:rPr>
        <w:t>经采购人委托的</w:t>
      </w:r>
      <w:r>
        <w:rPr>
          <w:rFonts w:hint="eastAsia"/>
          <w:color w:val="000000" w:themeColor="text1"/>
          <w:sz w:val="24"/>
          <w:highlight w:val="none"/>
          <w:lang w:eastAsia="zh-CN"/>
          <w14:textFill>
            <w14:solidFill>
              <w14:schemeClr w14:val="tx1"/>
            </w14:solidFill>
          </w14:textFill>
        </w:rPr>
        <w:t>第三方审计</w:t>
      </w:r>
      <w:r>
        <w:rPr>
          <w:rFonts w:hint="eastAsia"/>
          <w:color w:val="000000" w:themeColor="text1"/>
          <w:sz w:val="24"/>
          <w:highlight w:val="none"/>
          <w14:textFill>
            <w14:solidFill>
              <w14:schemeClr w14:val="tx1"/>
            </w14:solidFill>
          </w14:textFill>
        </w:rPr>
        <w:t>机构审核后的工程结算造价（包含人工、材料、机械等所有费用）*</w:t>
      </w:r>
      <w:r>
        <w:rPr>
          <w:rFonts w:hint="eastAsia"/>
          <w:color w:val="000000" w:themeColor="text1"/>
          <w:sz w:val="24"/>
          <w:highlight w:val="none"/>
          <w:lang w:eastAsia="zh-CN"/>
          <w14:textFill>
            <w14:solidFill>
              <w14:schemeClr w14:val="tx1"/>
            </w14:solidFill>
          </w14:textFill>
        </w:rPr>
        <w:t>（1-优惠率）</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院</w:t>
      </w:r>
      <w:r>
        <w:rPr>
          <w:rFonts w:hint="eastAsia"/>
          <w:color w:val="000000" w:themeColor="text1"/>
          <w:sz w:val="24"/>
          <w:highlight w:val="none"/>
          <w14:textFill>
            <w14:solidFill>
              <w14:schemeClr w14:val="tx1"/>
            </w14:solidFill>
          </w14:textFill>
        </w:rPr>
        <w:t>方在收到中标</w:t>
      </w:r>
      <w:r>
        <w:rPr>
          <w:rFonts w:hint="eastAsia"/>
          <w:color w:val="000000" w:themeColor="text1"/>
          <w:sz w:val="24"/>
          <w:highlight w:val="none"/>
          <w:lang w:eastAsia="zh-CN"/>
          <w14:textFill>
            <w14:solidFill>
              <w14:schemeClr w14:val="tx1"/>
            </w14:solidFill>
          </w14:textFill>
        </w:rPr>
        <w:t>方根据</w:t>
      </w:r>
      <w:r>
        <w:rPr>
          <w:rFonts w:hint="eastAsia"/>
          <w:color w:val="000000" w:themeColor="text1"/>
          <w:sz w:val="24"/>
          <w:highlight w:val="none"/>
          <w14:textFill>
            <w14:solidFill>
              <w14:schemeClr w14:val="tx1"/>
            </w14:solidFill>
          </w14:textFill>
        </w:rPr>
        <w:t>最终工程结算造价</w:t>
      </w:r>
      <w:r>
        <w:rPr>
          <w:rFonts w:hint="eastAsia"/>
          <w:color w:val="000000" w:themeColor="text1"/>
          <w:sz w:val="24"/>
          <w:highlight w:val="none"/>
          <w:lang w:eastAsia="zh-CN"/>
          <w14:textFill>
            <w14:solidFill>
              <w14:schemeClr w14:val="tx1"/>
            </w14:solidFill>
          </w14:textFill>
        </w:rPr>
        <w:t>开具</w:t>
      </w:r>
      <w:r>
        <w:rPr>
          <w:rFonts w:hint="eastAsia"/>
          <w:color w:val="000000" w:themeColor="text1"/>
          <w:sz w:val="24"/>
          <w:highlight w:val="none"/>
          <w14:textFill>
            <w14:solidFill>
              <w14:schemeClr w14:val="tx1"/>
            </w14:solidFill>
          </w14:textFill>
        </w:rPr>
        <w:t>的正式发票且审核无误后</w:t>
      </w:r>
      <w:r>
        <w:rPr>
          <w:rFonts w:hint="eastAsia"/>
          <w:color w:val="000000" w:themeColor="text1"/>
          <w:sz w:val="24"/>
          <w:highlight w:val="none"/>
          <w:lang w:val="en-US" w:eastAsia="zh-CN"/>
          <w14:textFill>
            <w14:solidFill>
              <w14:schemeClr w14:val="tx1"/>
            </w14:solidFill>
          </w14:textFill>
        </w:rPr>
        <w:t>60</w:t>
      </w:r>
      <w:r>
        <w:rPr>
          <w:rFonts w:hint="eastAsia"/>
          <w:color w:val="000000" w:themeColor="text1"/>
          <w:sz w:val="24"/>
          <w:highlight w:val="none"/>
          <w14:textFill>
            <w14:solidFill>
              <w14:schemeClr w14:val="tx1"/>
            </w14:solidFill>
          </w14:textFill>
        </w:rPr>
        <w:t>个工作日支付</w:t>
      </w:r>
      <w:r>
        <w:rPr>
          <w:rFonts w:hint="eastAsia"/>
          <w:color w:val="000000" w:themeColor="text1"/>
          <w:sz w:val="24"/>
          <w:highlight w:val="none"/>
          <w:lang w:eastAsia="zh-CN"/>
          <w14:textFill>
            <w14:solidFill>
              <w14:schemeClr w14:val="tx1"/>
            </w14:solidFill>
          </w14:textFill>
        </w:rPr>
        <w:t>结算金额的</w:t>
      </w:r>
      <w:r>
        <w:rPr>
          <w:rFonts w:hint="eastAsia"/>
          <w:color w:val="000000" w:themeColor="text1"/>
          <w:sz w:val="24"/>
          <w:highlight w:val="none"/>
          <w14:textFill>
            <w14:solidFill>
              <w14:schemeClr w14:val="tx1"/>
            </w14:solidFill>
          </w14:textFill>
        </w:rPr>
        <w:t>97%，保质期满支付3%尾款（不计利息）。</w:t>
      </w:r>
    </w:p>
    <w:p w14:paraId="30B60154">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（二）中标单位承担的具体工程项目施工任务，根据采购人工程性质和特点，报价的计价方法按下列规则计算：</w:t>
      </w:r>
    </w:p>
    <w:p w14:paraId="1D389FB7">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（1）若有图纸，应按照图纸施工，报价应包括施工设备、劳务、管理、材料、安装、维护、利润、税金等所有费用。</w:t>
      </w:r>
    </w:p>
    <w:p w14:paraId="502B0B55">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人工费单价：人工费单价统一按照江苏省住房城乡建设厅发布的《江苏省建设工程人工工资指导价（2023年9月1日）》中无锡市点工价格标准计算，若本文件有更新，按最新版调整。机械台班、材料价格按照报价同期无锡市造价管理部门公布的信息价（没有信息价的按市场价或承、发包双方共同看样定货定价）。</w:t>
      </w:r>
    </w:p>
    <w:p w14:paraId="30618024">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（3）措施费和不可竞争费用：按照《江苏省建筑工程费用定额》最新版确定。</w:t>
      </w:r>
    </w:p>
    <w:p w14:paraId="30CA02E1">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（4）定点期间，如遇国家或江苏省政策性调整，则双方须按最新政策规定执行。</w:t>
      </w:r>
    </w:p>
    <w:p w14:paraId="52191008">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（三）所有中标供应商的最终签约中标价参照两个院区的中标</w:t>
      </w:r>
      <w:r>
        <w:rPr>
          <w:rFonts w:hint="eastAsia"/>
          <w:color w:val="000000" w:themeColor="text1"/>
          <w:sz w:val="24"/>
          <w:highlight w:val="none"/>
          <w:lang w:val="en-US" w:eastAsia="zh-CN"/>
          <w14:textFill>
            <w14:solidFill>
              <w14:schemeClr w14:val="tx1"/>
            </w14:solidFill>
          </w14:textFill>
        </w:rPr>
        <w:t>优惠率</w:t>
      </w:r>
      <w:r>
        <w:rPr>
          <w:rFonts w:hint="eastAsia"/>
          <w:color w:val="000000" w:themeColor="text1"/>
          <w:sz w:val="24"/>
          <w:highlight w:val="none"/>
          <w14:textFill>
            <w14:solidFill>
              <w14:schemeClr w14:val="tx1"/>
            </w14:solidFill>
          </w14:textFill>
        </w:rPr>
        <w:t>最</w:t>
      </w:r>
      <w:r>
        <w:rPr>
          <w:rFonts w:hint="eastAsia"/>
          <w:color w:val="000000" w:themeColor="text1"/>
          <w:sz w:val="24"/>
          <w:highlight w:val="none"/>
          <w:lang w:val="en-US" w:eastAsia="zh-CN"/>
          <w14:textFill>
            <w14:solidFill>
              <w14:schemeClr w14:val="tx1"/>
            </w14:solidFill>
          </w14:textFill>
        </w:rPr>
        <w:t>高</w:t>
      </w:r>
      <w:r>
        <w:rPr>
          <w:rFonts w:hint="eastAsia"/>
          <w:color w:val="000000" w:themeColor="text1"/>
          <w:sz w:val="24"/>
          <w:highlight w:val="none"/>
          <w14:textFill>
            <w14:solidFill>
              <w14:schemeClr w14:val="tx1"/>
            </w14:solidFill>
          </w14:textFill>
        </w:rPr>
        <w:t>的执行，若无法满足该要求，采购人有权取消其中标资格。</w:t>
      </w:r>
    </w:p>
    <w:p w14:paraId="6440AEFD">
      <w:pPr>
        <w:tabs>
          <w:tab w:val="left" w:pos="945"/>
          <w:tab w:val="left" w:pos="1125"/>
        </w:tabs>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（四）工程质保要求：按《房屋建筑工程质量保修办法》承担本工程质量保修责任</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未提及的工程类别项目质量保修年限≥2年。</w:t>
      </w:r>
    </w:p>
    <w:p w14:paraId="53B65FA7">
      <w:pPr>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五</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其他</w:t>
      </w:r>
      <w:r>
        <w:rPr>
          <w:rFonts w:hint="eastAsia"/>
          <w:color w:val="000000" w:themeColor="text1"/>
          <w:sz w:val="24"/>
          <w:highlight w:val="none"/>
          <w14:textFill>
            <w14:solidFill>
              <w14:schemeClr w14:val="tx1"/>
            </w14:solidFill>
          </w14:textFill>
        </w:rPr>
        <w:t>说明</w:t>
      </w:r>
    </w:p>
    <w:p w14:paraId="638E6AD6">
      <w:pPr>
        <w:spacing w:line="360" w:lineRule="auto"/>
        <w:ind w:firstLine="480"/>
        <w:rPr>
          <w:rFonts w:hint="eastAsia"/>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w:t>
      </w:r>
      <w:r>
        <w:rPr>
          <w:rFonts w:ascii="Times New Roman" w:hAnsi="Times New Roman" w:eastAsia="Times New Roman" w:cs="Times New Roman"/>
          <w:color w:val="000000" w:themeColor="text1"/>
          <w:sz w:val="24"/>
          <w:highlight w:val="none"/>
          <w14:textFill>
            <w14:solidFill>
              <w14:schemeClr w14:val="tx1"/>
            </w14:solidFill>
          </w14:textFill>
        </w:rPr>
        <w:t>1</w:t>
      </w:r>
      <w:r>
        <w:rPr>
          <w:rFonts w:ascii="宋体" w:hAnsi="宋体" w:eastAsia="宋体" w:cs="宋体"/>
          <w:color w:val="000000" w:themeColor="text1"/>
          <w:sz w:val="24"/>
          <w:highlight w:val="none"/>
          <w14:textFill>
            <w14:solidFill>
              <w14:schemeClr w14:val="tx1"/>
            </w14:solidFill>
          </w14:textFill>
        </w:rPr>
        <w:t>）本项目分两个采购包：采购包</w:t>
      </w:r>
      <w:r>
        <w:rPr>
          <w:rFonts w:ascii="Times New Roman" w:hAnsi="Times New Roman" w:eastAsia="Times New Roman" w:cs="Times New Roman"/>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南</w:t>
      </w:r>
      <w:r>
        <w:rPr>
          <w:rFonts w:ascii="宋体" w:hAnsi="宋体" w:eastAsia="宋体" w:cs="宋体"/>
          <w:color w:val="000000" w:themeColor="text1"/>
          <w:sz w:val="24"/>
          <w:highlight w:val="none"/>
          <w14:textFill>
            <w14:solidFill>
              <w14:schemeClr w14:val="tx1"/>
            </w14:solidFill>
          </w14:textFill>
        </w:rPr>
        <w:t>院、采购包</w:t>
      </w:r>
      <w:r>
        <w:rPr>
          <w:rFonts w:ascii="Times New Roman" w:hAnsi="Times New Roman" w:eastAsia="Times New Roman" w:cs="Times New Roman"/>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北</w:t>
      </w:r>
      <w:r>
        <w:rPr>
          <w:rFonts w:ascii="宋体" w:hAnsi="宋体" w:eastAsia="宋体" w:cs="宋体"/>
          <w:color w:val="000000" w:themeColor="text1"/>
          <w:sz w:val="24"/>
          <w:highlight w:val="none"/>
          <w14:textFill>
            <w14:solidFill>
              <w14:schemeClr w14:val="tx1"/>
            </w14:solidFill>
          </w14:textFill>
        </w:rPr>
        <w:t>院，本项目招标分为采购包</w:t>
      </w:r>
      <w:r>
        <w:rPr>
          <w:rFonts w:ascii="Times New Roman" w:hAnsi="Times New Roman" w:eastAsia="Times New Roman" w:cs="Times New Roman"/>
          <w:color w:val="000000" w:themeColor="text1"/>
          <w:sz w:val="24"/>
          <w:highlight w:val="none"/>
          <w14:textFill>
            <w14:solidFill>
              <w14:schemeClr w14:val="tx1"/>
            </w14:solidFill>
          </w14:textFill>
        </w:rPr>
        <w:t>1</w:t>
      </w:r>
      <w:r>
        <w:rPr>
          <w:rFonts w:ascii="宋体" w:hAnsi="宋体" w:eastAsia="宋体" w:cs="宋体"/>
          <w:color w:val="000000" w:themeColor="text1"/>
          <w:sz w:val="24"/>
          <w:highlight w:val="none"/>
          <w14:textFill>
            <w14:solidFill>
              <w14:schemeClr w14:val="tx1"/>
            </w14:solidFill>
          </w14:textFill>
        </w:rPr>
        <w:t>、采购包</w:t>
      </w:r>
      <w:r>
        <w:rPr>
          <w:rFonts w:ascii="Times New Roman" w:hAnsi="Times New Roman" w:eastAsia="Times New Roman" w:cs="Times New Roman"/>
          <w:color w:val="000000" w:themeColor="text1"/>
          <w:sz w:val="24"/>
          <w:highlight w:val="none"/>
          <w14:textFill>
            <w14:solidFill>
              <w14:schemeClr w14:val="tx1"/>
            </w14:solidFill>
          </w14:textFill>
        </w:rPr>
        <w:t>2</w:t>
      </w:r>
      <w:r>
        <w:rPr>
          <w:rFonts w:ascii="宋体" w:hAnsi="宋体" w:eastAsia="宋体" w:cs="宋体"/>
          <w:color w:val="000000" w:themeColor="text1"/>
          <w:sz w:val="24"/>
          <w:highlight w:val="none"/>
          <w14:textFill>
            <w14:solidFill>
              <w14:schemeClr w14:val="tx1"/>
            </w14:solidFill>
          </w14:textFill>
        </w:rPr>
        <w:t>，采取兼投不兼中原则，若两个采购包都为第一名，则中预算金额高的采购包，另一采购包的中标单位为综合评分第二名的单位。同一采购包若得分相同，按</w:t>
      </w:r>
      <w:r>
        <w:rPr>
          <w:rFonts w:hint="eastAsia" w:ascii="宋体" w:hAnsi="宋体" w:cs="宋体"/>
          <w:color w:val="000000" w:themeColor="text1"/>
          <w:sz w:val="24"/>
          <w:highlight w:val="none"/>
          <w:lang w:eastAsia="zh-CN"/>
          <w14:textFill>
            <w14:solidFill>
              <w14:schemeClr w14:val="tx1"/>
            </w14:solidFill>
          </w14:textFill>
        </w:rPr>
        <w:t>优惠率最高者</w:t>
      </w:r>
      <w:r>
        <w:rPr>
          <w:rFonts w:ascii="宋体" w:hAnsi="宋体" w:eastAsia="宋体" w:cs="宋体"/>
          <w:color w:val="000000" w:themeColor="text1"/>
          <w:sz w:val="24"/>
          <w:highlight w:val="none"/>
          <w14:textFill>
            <w14:solidFill>
              <w14:schemeClr w14:val="tx1"/>
            </w14:solidFill>
          </w14:textFill>
        </w:rPr>
        <w:t>中标</w:t>
      </w:r>
      <w:r>
        <w:rPr>
          <w:rFonts w:hint="eastAsia"/>
          <w:color w:val="000000" w:themeColor="text1"/>
          <w:sz w:val="24"/>
          <w:highlight w:val="none"/>
          <w14:textFill>
            <w14:solidFill>
              <w14:schemeClr w14:val="tx1"/>
            </w14:solidFill>
          </w14:textFill>
        </w:rPr>
        <w:t>。</w:t>
      </w:r>
    </w:p>
    <w:p w14:paraId="666E1328">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为加强安全文明施工的管理，</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人会就相关内容进行考核评分（百分制），</w:t>
      </w:r>
      <w:r>
        <w:rPr>
          <w:rFonts w:hint="eastAsia"/>
          <w:color w:val="000000" w:themeColor="text1"/>
          <w:sz w:val="24"/>
          <w:highlight w:val="none"/>
          <w14:textFill>
            <w14:solidFill>
              <w14:schemeClr w14:val="tx1"/>
            </w14:solidFill>
          </w14:textFill>
        </w:rPr>
        <w:t>每个季度均会进行考核，项目</w:t>
      </w:r>
      <w:r>
        <w:rPr>
          <w:color w:val="000000" w:themeColor="text1"/>
          <w:sz w:val="24"/>
          <w:highlight w:val="none"/>
          <w14:textFill>
            <w14:solidFill>
              <w14:schemeClr w14:val="tx1"/>
            </w14:solidFill>
          </w14:textFill>
        </w:rPr>
        <w:t>结算时</w:t>
      </w:r>
      <w:r>
        <w:rPr>
          <w:rFonts w:hint="eastAsia"/>
          <w:color w:val="000000" w:themeColor="text1"/>
          <w:sz w:val="24"/>
          <w:highlight w:val="none"/>
          <w14:textFill>
            <w14:solidFill>
              <w14:schemeClr w14:val="tx1"/>
            </w14:solidFill>
          </w14:textFill>
        </w:rPr>
        <w:t>费用与考评得分挂钩，高于95分不扣工程费用；扣满5分后，每扣一分，扣款200元；扣满10分后，每扣一分，扣款500元。施工中，出现人员伤（重伤）亡的安全事故，采购人将立即终止合同。</w:t>
      </w:r>
    </w:p>
    <w:tbl>
      <w:tblPr>
        <w:tblStyle w:val="62"/>
        <w:tblW w:w="5000" w:type="pct"/>
        <w:tblInd w:w="0" w:type="dxa"/>
        <w:tblLayout w:type="autofit"/>
        <w:tblCellMar>
          <w:top w:w="0" w:type="dxa"/>
          <w:left w:w="108" w:type="dxa"/>
          <w:bottom w:w="0" w:type="dxa"/>
          <w:right w:w="108" w:type="dxa"/>
        </w:tblCellMar>
      </w:tblPr>
      <w:tblGrid>
        <w:gridCol w:w="708"/>
        <w:gridCol w:w="3727"/>
        <w:gridCol w:w="762"/>
        <w:gridCol w:w="2050"/>
        <w:gridCol w:w="1149"/>
        <w:gridCol w:w="641"/>
      </w:tblGrid>
      <w:tr w14:paraId="0272880B">
        <w:tblPrEx>
          <w:tblCellMar>
            <w:top w:w="0" w:type="dxa"/>
            <w:left w:w="108" w:type="dxa"/>
            <w:bottom w:w="0" w:type="dxa"/>
            <w:right w:w="108" w:type="dxa"/>
          </w:tblCellMar>
        </w:tblPrEx>
        <w:trPr>
          <w:trHeight w:val="676" w:hRule="atLeast"/>
        </w:trPr>
        <w:tc>
          <w:tcPr>
            <w:tcW w:w="5000" w:type="pct"/>
            <w:gridSpan w:val="6"/>
            <w:tcBorders>
              <w:top w:val="single" w:color="000000" w:sz="8" w:space="0"/>
              <w:left w:val="single" w:color="000000" w:sz="8" w:space="0"/>
              <w:bottom w:val="nil"/>
              <w:right w:val="single" w:color="000000" w:sz="8" w:space="0"/>
            </w:tcBorders>
            <w:noWrap w:val="0"/>
            <w:vAlign w:val="center"/>
          </w:tcPr>
          <w:p w14:paraId="3AC7BBFA">
            <w:pPr>
              <w:widowControl/>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无锡市第二人民医院南北院零星修缮采购</w:t>
            </w:r>
            <w:r>
              <w:rPr>
                <w:rFonts w:hint="eastAsia" w:ascii="宋体" w:hAnsi="宋体" w:cs="宋体"/>
                <w:b/>
                <w:bCs/>
                <w:color w:val="000000" w:themeColor="text1"/>
                <w:sz w:val="24"/>
                <w:highlight w:val="none"/>
                <w14:textFill>
                  <w14:solidFill>
                    <w14:schemeClr w14:val="tx1"/>
                  </w14:solidFill>
                </w14:textFill>
              </w:rPr>
              <w:t>项目文明施工考核表</w:t>
            </w:r>
          </w:p>
        </w:tc>
      </w:tr>
      <w:tr w14:paraId="3B1ED4CA">
        <w:tblPrEx>
          <w:tblCellMar>
            <w:top w:w="0" w:type="dxa"/>
            <w:left w:w="108" w:type="dxa"/>
            <w:bottom w:w="0" w:type="dxa"/>
            <w:right w:w="108" w:type="dxa"/>
          </w:tblCellMar>
        </w:tblPrEx>
        <w:trPr>
          <w:trHeight w:val="510" w:hRule="atLeast"/>
        </w:trPr>
        <w:tc>
          <w:tcPr>
            <w:tcW w:w="364" w:type="pct"/>
            <w:tcBorders>
              <w:top w:val="single" w:color="000000" w:sz="4" w:space="0"/>
              <w:left w:val="single" w:color="000000" w:sz="8" w:space="0"/>
              <w:bottom w:val="single" w:color="000000" w:sz="4" w:space="0"/>
              <w:right w:val="single" w:color="000000" w:sz="4" w:space="0"/>
            </w:tcBorders>
            <w:noWrap w:val="0"/>
            <w:vAlign w:val="center"/>
          </w:tcPr>
          <w:p w14:paraId="2365AF8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施工项目 </w:t>
            </w:r>
          </w:p>
        </w:tc>
        <w:tc>
          <w:tcPr>
            <w:tcW w:w="2068" w:type="pct"/>
            <w:tcBorders>
              <w:top w:val="single" w:color="000000" w:sz="4" w:space="0"/>
              <w:left w:val="nil"/>
              <w:bottom w:val="single" w:color="000000" w:sz="4" w:space="0"/>
              <w:right w:val="single" w:color="000000" w:sz="4" w:space="0"/>
            </w:tcBorders>
            <w:noWrap w:val="0"/>
            <w:vAlign w:val="center"/>
          </w:tcPr>
          <w:p w14:paraId="5E19F4D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27" w:type="pct"/>
            <w:tcBorders>
              <w:top w:val="single" w:color="000000" w:sz="4" w:space="0"/>
              <w:left w:val="nil"/>
              <w:bottom w:val="single" w:color="000000" w:sz="4" w:space="0"/>
              <w:right w:val="single" w:color="000000" w:sz="4" w:space="0"/>
            </w:tcBorders>
            <w:noWrap w:val="0"/>
            <w:vAlign w:val="center"/>
          </w:tcPr>
          <w:p w14:paraId="069D59E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施工单位</w:t>
            </w:r>
          </w:p>
        </w:tc>
        <w:tc>
          <w:tcPr>
            <w:tcW w:w="2140" w:type="pct"/>
            <w:gridSpan w:val="3"/>
            <w:tcBorders>
              <w:top w:val="single" w:color="000000" w:sz="4" w:space="0"/>
              <w:left w:val="nil"/>
              <w:bottom w:val="single" w:color="000000" w:sz="4" w:space="0"/>
              <w:right w:val="single" w:color="000000" w:sz="8" w:space="0"/>
            </w:tcBorders>
            <w:noWrap w:val="0"/>
            <w:vAlign w:val="center"/>
          </w:tcPr>
          <w:p w14:paraId="2F7836A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32DA664">
        <w:tblPrEx>
          <w:tblCellMar>
            <w:top w:w="0" w:type="dxa"/>
            <w:left w:w="108" w:type="dxa"/>
            <w:bottom w:w="0" w:type="dxa"/>
            <w:right w:w="108" w:type="dxa"/>
          </w:tblCellMar>
        </w:tblPrEx>
        <w:trPr>
          <w:trHeight w:val="510" w:hRule="atLeast"/>
        </w:trPr>
        <w:tc>
          <w:tcPr>
            <w:tcW w:w="364" w:type="pct"/>
            <w:tcBorders>
              <w:top w:val="nil"/>
              <w:left w:val="single" w:color="000000" w:sz="8" w:space="0"/>
              <w:bottom w:val="single" w:color="000000" w:sz="4" w:space="0"/>
              <w:right w:val="single" w:color="000000" w:sz="4" w:space="0"/>
            </w:tcBorders>
            <w:noWrap w:val="0"/>
            <w:vAlign w:val="center"/>
          </w:tcPr>
          <w:p w14:paraId="7A988CA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考核时间</w:t>
            </w:r>
          </w:p>
        </w:tc>
        <w:tc>
          <w:tcPr>
            <w:tcW w:w="2068" w:type="pct"/>
            <w:tcBorders>
              <w:top w:val="nil"/>
              <w:left w:val="nil"/>
              <w:bottom w:val="single" w:color="000000" w:sz="4" w:space="0"/>
              <w:right w:val="single" w:color="000000" w:sz="4" w:space="0"/>
            </w:tcBorders>
            <w:noWrap w:val="0"/>
            <w:vAlign w:val="center"/>
          </w:tcPr>
          <w:p w14:paraId="059E94FC">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27" w:type="pct"/>
            <w:tcBorders>
              <w:top w:val="nil"/>
              <w:left w:val="nil"/>
              <w:bottom w:val="single" w:color="000000" w:sz="4" w:space="0"/>
              <w:right w:val="single" w:color="000000" w:sz="4" w:space="0"/>
            </w:tcBorders>
            <w:noWrap w:val="0"/>
            <w:vAlign w:val="center"/>
          </w:tcPr>
          <w:p w14:paraId="5B469CF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考核者</w:t>
            </w:r>
          </w:p>
        </w:tc>
        <w:tc>
          <w:tcPr>
            <w:tcW w:w="1140" w:type="pct"/>
            <w:tcBorders>
              <w:top w:val="nil"/>
              <w:left w:val="nil"/>
              <w:bottom w:val="single" w:color="000000" w:sz="4" w:space="0"/>
              <w:right w:val="single" w:color="000000" w:sz="4" w:space="0"/>
            </w:tcBorders>
            <w:noWrap w:val="0"/>
            <w:vAlign w:val="center"/>
          </w:tcPr>
          <w:p w14:paraId="42B4EC9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641" w:type="pct"/>
            <w:tcBorders>
              <w:top w:val="nil"/>
              <w:left w:val="nil"/>
              <w:bottom w:val="single" w:color="000000" w:sz="4" w:space="0"/>
              <w:right w:val="single" w:color="000000" w:sz="4" w:space="0"/>
            </w:tcBorders>
            <w:noWrap w:val="0"/>
            <w:vAlign w:val="center"/>
          </w:tcPr>
          <w:p w14:paraId="7A15751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考核得分</w:t>
            </w:r>
          </w:p>
        </w:tc>
        <w:tc>
          <w:tcPr>
            <w:tcW w:w="357" w:type="pct"/>
            <w:tcBorders>
              <w:top w:val="nil"/>
              <w:left w:val="nil"/>
              <w:bottom w:val="single" w:color="000000" w:sz="4" w:space="0"/>
              <w:right w:val="single" w:color="000000" w:sz="8" w:space="0"/>
            </w:tcBorders>
            <w:noWrap w:val="0"/>
            <w:vAlign w:val="center"/>
          </w:tcPr>
          <w:p w14:paraId="4AD598BF">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A065FA1">
        <w:tblPrEx>
          <w:tblCellMar>
            <w:top w:w="0" w:type="dxa"/>
            <w:left w:w="108" w:type="dxa"/>
            <w:bottom w:w="0" w:type="dxa"/>
            <w:right w:w="108" w:type="dxa"/>
          </w:tblCellMar>
        </w:tblPrEx>
        <w:trPr>
          <w:trHeight w:val="720" w:hRule="atLeast"/>
        </w:trPr>
        <w:tc>
          <w:tcPr>
            <w:tcW w:w="364" w:type="pct"/>
            <w:tcBorders>
              <w:top w:val="nil"/>
              <w:left w:val="single" w:color="000000" w:sz="8" w:space="0"/>
              <w:bottom w:val="single" w:color="000000" w:sz="4" w:space="0"/>
              <w:right w:val="single" w:color="000000" w:sz="4" w:space="0"/>
            </w:tcBorders>
            <w:noWrap w:val="0"/>
            <w:vAlign w:val="center"/>
          </w:tcPr>
          <w:p w14:paraId="14446FA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考核项目</w:t>
            </w:r>
          </w:p>
        </w:tc>
        <w:tc>
          <w:tcPr>
            <w:tcW w:w="2068" w:type="pct"/>
            <w:tcBorders>
              <w:top w:val="nil"/>
              <w:left w:val="nil"/>
              <w:bottom w:val="single" w:color="000000" w:sz="4" w:space="0"/>
              <w:right w:val="single" w:color="000000" w:sz="4" w:space="0"/>
            </w:tcBorders>
            <w:noWrap w:val="0"/>
            <w:vAlign w:val="center"/>
          </w:tcPr>
          <w:p w14:paraId="5092A771">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考核内容</w:t>
            </w:r>
          </w:p>
        </w:tc>
        <w:tc>
          <w:tcPr>
            <w:tcW w:w="427" w:type="pct"/>
            <w:tcBorders>
              <w:top w:val="nil"/>
              <w:left w:val="nil"/>
              <w:bottom w:val="single" w:color="000000" w:sz="4" w:space="0"/>
              <w:right w:val="single" w:color="000000" w:sz="4" w:space="0"/>
            </w:tcBorders>
            <w:noWrap w:val="0"/>
            <w:vAlign w:val="center"/>
          </w:tcPr>
          <w:p w14:paraId="18303B4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分值</w:t>
            </w:r>
          </w:p>
        </w:tc>
        <w:tc>
          <w:tcPr>
            <w:tcW w:w="1140" w:type="pct"/>
            <w:tcBorders>
              <w:top w:val="nil"/>
              <w:left w:val="nil"/>
              <w:bottom w:val="single" w:color="000000" w:sz="4" w:space="0"/>
              <w:right w:val="single" w:color="000000" w:sz="4" w:space="0"/>
            </w:tcBorders>
            <w:noWrap w:val="0"/>
            <w:vAlign w:val="center"/>
          </w:tcPr>
          <w:p w14:paraId="793FD5D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扣分细则</w:t>
            </w:r>
          </w:p>
        </w:tc>
        <w:tc>
          <w:tcPr>
            <w:tcW w:w="641" w:type="pct"/>
            <w:tcBorders>
              <w:top w:val="nil"/>
              <w:left w:val="nil"/>
              <w:bottom w:val="single" w:color="000000" w:sz="4" w:space="0"/>
              <w:right w:val="single" w:color="000000" w:sz="4" w:space="0"/>
            </w:tcBorders>
            <w:noWrap w:val="0"/>
            <w:vAlign w:val="center"/>
          </w:tcPr>
          <w:p w14:paraId="65FDE58F">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考核扣分及原因</w:t>
            </w:r>
          </w:p>
        </w:tc>
        <w:tc>
          <w:tcPr>
            <w:tcW w:w="357" w:type="pct"/>
            <w:tcBorders>
              <w:top w:val="nil"/>
              <w:left w:val="nil"/>
              <w:bottom w:val="single" w:color="000000" w:sz="4" w:space="0"/>
              <w:right w:val="single" w:color="000000" w:sz="8" w:space="0"/>
            </w:tcBorders>
            <w:noWrap w:val="0"/>
            <w:vAlign w:val="center"/>
          </w:tcPr>
          <w:p w14:paraId="1D5D579D">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得分</w:t>
            </w:r>
          </w:p>
        </w:tc>
      </w:tr>
      <w:tr w14:paraId="1B00BD30">
        <w:tblPrEx>
          <w:tblCellMar>
            <w:top w:w="0" w:type="dxa"/>
            <w:left w:w="108" w:type="dxa"/>
            <w:bottom w:w="0" w:type="dxa"/>
            <w:right w:w="108" w:type="dxa"/>
          </w:tblCellMar>
        </w:tblPrEx>
        <w:trPr>
          <w:cantSplit/>
          <w:trHeight w:val="705" w:hRule="atLeast"/>
        </w:trPr>
        <w:tc>
          <w:tcPr>
            <w:tcW w:w="364" w:type="pct"/>
            <w:vMerge w:val="restart"/>
            <w:tcBorders>
              <w:top w:val="nil"/>
              <w:left w:val="single" w:color="000000" w:sz="8" w:space="0"/>
              <w:bottom w:val="single" w:color="000000" w:sz="4" w:space="0"/>
              <w:right w:val="single" w:color="000000" w:sz="4" w:space="0"/>
            </w:tcBorders>
            <w:noWrap w:val="0"/>
            <w:textDirection w:val="tbRlV"/>
            <w:vAlign w:val="center"/>
          </w:tcPr>
          <w:p w14:paraId="5CD2DAC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文明施工管理</w:t>
            </w:r>
          </w:p>
        </w:tc>
        <w:tc>
          <w:tcPr>
            <w:tcW w:w="2068" w:type="pct"/>
            <w:tcBorders>
              <w:top w:val="nil"/>
              <w:left w:val="nil"/>
              <w:bottom w:val="single" w:color="000000" w:sz="4" w:space="0"/>
              <w:right w:val="single" w:color="000000" w:sz="4" w:space="0"/>
            </w:tcBorders>
            <w:noWrap w:val="0"/>
            <w:vAlign w:val="center"/>
          </w:tcPr>
          <w:p w14:paraId="7A7F8C6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遵守医院各项管理制度，并按规定的时间要求准时施工或停工</w:t>
            </w:r>
          </w:p>
        </w:tc>
        <w:tc>
          <w:tcPr>
            <w:tcW w:w="427" w:type="pct"/>
            <w:tcBorders>
              <w:top w:val="nil"/>
              <w:left w:val="nil"/>
              <w:bottom w:val="single" w:color="000000" w:sz="4" w:space="0"/>
              <w:right w:val="single" w:color="000000" w:sz="4" w:space="0"/>
            </w:tcBorders>
            <w:noWrap w:val="0"/>
            <w:vAlign w:val="center"/>
          </w:tcPr>
          <w:p w14:paraId="5D4ECE4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467374F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违反制度一次扣2分；不按规定时间施工一次扣2分</w:t>
            </w:r>
          </w:p>
        </w:tc>
        <w:tc>
          <w:tcPr>
            <w:tcW w:w="641" w:type="pct"/>
            <w:tcBorders>
              <w:top w:val="nil"/>
              <w:left w:val="nil"/>
              <w:bottom w:val="single" w:color="000000" w:sz="4" w:space="0"/>
              <w:right w:val="single" w:color="000000" w:sz="4" w:space="0"/>
            </w:tcBorders>
            <w:noWrap w:val="0"/>
            <w:vAlign w:val="center"/>
          </w:tcPr>
          <w:p w14:paraId="548B91F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1E8D2A1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0F4293D">
        <w:tblPrEx>
          <w:tblCellMar>
            <w:top w:w="0" w:type="dxa"/>
            <w:left w:w="108" w:type="dxa"/>
            <w:bottom w:w="0" w:type="dxa"/>
            <w:right w:w="108" w:type="dxa"/>
          </w:tblCellMar>
        </w:tblPrEx>
        <w:trPr>
          <w:cantSplit/>
          <w:trHeight w:val="1448"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3D2A5431">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6B2BEC1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开工前，所有施工区域必须做好临时封闭和隔</w:t>
            </w:r>
            <w:r>
              <w:rPr>
                <w:rFonts w:hint="eastAsia" w:ascii="宋体" w:hAnsi="宋体" w:cs="宋体"/>
                <w:color w:val="000000" w:themeColor="text1"/>
                <w:sz w:val="24"/>
                <w:highlight w:val="none"/>
                <w:lang w:eastAsia="zh-CN"/>
                <w14:textFill>
                  <w14:solidFill>
                    <w14:schemeClr w14:val="tx1"/>
                  </w14:solidFill>
                </w14:textFill>
              </w:rPr>
              <w:t>挡</w:t>
            </w:r>
            <w:r>
              <w:rPr>
                <w:rFonts w:hint="eastAsia" w:ascii="宋体" w:hAnsi="宋体" w:cs="宋体"/>
                <w:color w:val="000000" w:themeColor="text1"/>
                <w:sz w:val="24"/>
                <w:highlight w:val="none"/>
                <w14:textFill>
                  <w14:solidFill>
                    <w14:schemeClr w14:val="tx1"/>
                  </w14:solidFill>
                </w14:textFill>
              </w:rPr>
              <w:t>，并悬挂警示和提醒标识，完成后经院方管理者确认方可施工</w:t>
            </w:r>
          </w:p>
        </w:tc>
        <w:tc>
          <w:tcPr>
            <w:tcW w:w="427" w:type="pct"/>
            <w:tcBorders>
              <w:top w:val="nil"/>
              <w:left w:val="nil"/>
              <w:bottom w:val="single" w:color="000000" w:sz="4" w:space="0"/>
              <w:right w:val="single" w:color="000000" w:sz="4" w:space="0"/>
            </w:tcBorders>
            <w:noWrap w:val="0"/>
            <w:vAlign w:val="center"/>
          </w:tcPr>
          <w:p w14:paraId="753DA93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04119AB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查出未封闭现场一次扣2分；未悬挂和缺失标识一次扣1分</w:t>
            </w:r>
          </w:p>
        </w:tc>
        <w:tc>
          <w:tcPr>
            <w:tcW w:w="641" w:type="pct"/>
            <w:tcBorders>
              <w:top w:val="nil"/>
              <w:left w:val="nil"/>
              <w:bottom w:val="single" w:color="000000" w:sz="4" w:space="0"/>
              <w:right w:val="single" w:color="000000" w:sz="4" w:space="0"/>
            </w:tcBorders>
            <w:noWrap w:val="0"/>
            <w:vAlign w:val="center"/>
          </w:tcPr>
          <w:p w14:paraId="2E69F65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033A3C5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395B069">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02929CAC">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3BD9E98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所有施工人员都必须穿工作服进入施工现场，禁穿外公司工作服</w:t>
            </w:r>
          </w:p>
        </w:tc>
        <w:tc>
          <w:tcPr>
            <w:tcW w:w="427" w:type="pct"/>
            <w:tcBorders>
              <w:top w:val="nil"/>
              <w:left w:val="nil"/>
              <w:bottom w:val="single" w:color="000000" w:sz="4" w:space="0"/>
              <w:right w:val="single" w:color="000000" w:sz="4" w:space="0"/>
            </w:tcBorders>
            <w:noWrap w:val="0"/>
            <w:vAlign w:val="center"/>
          </w:tcPr>
          <w:p w14:paraId="41B61F2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0D6D467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未穿工作服每人扣1分</w:t>
            </w:r>
          </w:p>
        </w:tc>
        <w:tc>
          <w:tcPr>
            <w:tcW w:w="641" w:type="pct"/>
            <w:tcBorders>
              <w:top w:val="nil"/>
              <w:left w:val="nil"/>
              <w:bottom w:val="single" w:color="000000" w:sz="4" w:space="0"/>
              <w:right w:val="single" w:color="000000" w:sz="4" w:space="0"/>
            </w:tcBorders>
            <w:noWrap w:val="0"/>
            <w:vAlign w:val="center"/>
          </w:tcPr>
          <w:p w14:paraId="3D0DDB1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2E2AE9F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B427E9D">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698E7485">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3DA3201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工作时间施工人员不得穿拖鞋，不得赤膊，不得喝酒，严禁吸烟</w:t>
            </w:r>
          </w:p>
        </w:tc>
        <w:tc>
          <w:tcPr>
            <w:tcW w:w="427" w:type="pct"/>
            <w:tcBorders>
              <w:top w:val="nil"/>
              <w:left w:val="nil"/>
              <w:bottom w:val="single" w:color="000000" w:sz="4" w:space="0"/>
              <w:right w:val="single" w:color="000000" w:sz="4" w:space="0"/>
            </w:tcBorders>
            <w:noWrap w:val="0"/>
            <w:vAlign w:val="center"/>
          </w:tcPr>
          <w:p w14:paraId="55C07FC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24A914B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发现一次扣1分；发现一个烟头扣1分</w:t>
            </w:r>
          </w:p>
        </w:tc>
        <w:tc>
          <w:tcPr>
            <w:tcW w:w="641" w:type="pct"/>
            <w:tcBorders>
              <w:top w:val="nil"/>
              <w:left w:val="nil"/>
              <w:bottom w:val="single" w:color="000000" w:sz="4" w:space="0"/>
              <w:right w:val="single" w:color="000000" w:sz="4" w:space="0"/>
            </w:tcBorders>
            <w:noWrap w:val="0"/>
            <w:vAlign w:val="center"/>
          </w:tcPr>
          <w:p w14:paraId="4F121AE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37B5454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EF8E96E">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21D84580">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6C300F0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施工现场严禁有小孩、未成年人员、非公司相关人员逗留</w:t>
            </w:r>
          </w:p>
        </w:tc>
        <w:tc>
          <w:tcPr>
            <w:tcW w:w="427" w:type="pct"/>
            <w:tcBorders>
              <w:top w:val="nil"/>
              <w:left w:val="nil"/>
              <w:bottom w:val="single" w:color="000000" w:sz="4" w:space="0"/>
              <w:right w:val="single" w:color="000000" w:sz="4" w:space="0"/>
            </w:tcBorders>
            <w:noWrap w:val="0"/>
            <w:vAlign w:val="center"/>
          </w:tcPr>
          <w:p w14:paraId="72EB051C">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7FE3AE3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w:t>
            </w:r>
          </w:p>
        </w:tc>
        <w:tc>
          <w:tcPr>
            <w:tcW w:w="641" w:type="pct"/>
            <w:tcBorders>
              <w:top w:val="nil"/>
              <w:left w:val="nil"/>
              <w:bottom w:val="single" w:color="000000" w:sz="4" w:space="0"/>
              <w:right w:val="single" w:color="000000" w:sz="4" w:space="0"/>
            </w:tcBorders>
            <w:noWrap w:val="0"/>
            <w:vAlign w:val="center"/>
          </w:tcPr>
          <w:p w14:paraId="02AFD3D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673471B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902A361">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2C152754">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32D2ED7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施工场地材料、工具需堆放有序，不得出现脏、乱、差等现象</w:t>
            </w:r>
          </w:p>
        </w:tc>
        <w:tc>
          <w:tcPr>
            <w:tcW w:w="427" w:type="pct"/>
            <w:tcBorders>
              <w:top w:val="nil"/>
              <w:left w:val="nil"/>
              <w:bottom w:val="single" w:color="000000" w:sz="4" w:space="0"/>
              <w:right w:val="single" w:color="000000" w:sz="4" w:space="0"/>
            </w:tcBorders>
            <w:noWrap w:val="0"/>
            <w:vAlign w:val="center"/>
          </w:tcPr>
          <w:p w14:paraId="48A9F1A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419F873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w:t>
            </w:r>
          </w:p>
        </w:tc>
        <w:tc>
          <w:tcPr>
            <w:tcW w:w="641" w:type="pct"/>
            <w:tcBorders>
              <w:top w:val="nil"/>
              <w:left w:val="nil"/>
              <w:bottom w:val="single" w:color="000000" w:sz="4" w:space="0"/>
              <w:right w:val="single" w:color="000000" w:sz="4" w:space="0"/>
            </w:tcBorders>
            <w:noWrap w:val="0"/>
            <w:vAlign w:val="center"/>
          </w:tcPr>
          <w:p w14:paraId="7E3BF89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52EF2AA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18CD156">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0836F33E">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6701706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严禁在工地聚众赌博，酗酒闹事及其它违法违规事件</w:t>
            </w:r>
          </w:p>
        </w:tc>
        <w:tc>
          <w:tcPr>
            <w:tcW w:w="427" w:type="pct"/>
            <w:tcBorders>
              <w:top w:val="nil"/>
              <w:left w:val="nil"/>
              <w:bottom w:val="single" w:color="000000" w:sz="4" w:space="0"/>
              <w:right w:val="single" w:color="000000" w:sz="4" w:space="0"/>
            </w:tcBorders>
            <w:noWrap w:val="0"/>
            <w:vAlign w:val="center"/>
          </w:tcPr>
          <w:p w14:paraId="02C05B3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0A670DC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发现一次扣5分</w:t>
            </w:r>
          </w:p>
        </w:tc>
        <w:tc>
          <w:tcPr>
            <w:tcW w:w="641" w:type="pct"/>
            <w:tcBorders>
              <w:top w:val="nil"/>
              <w:left w:val="nil"/>
              <w:bottom w:val="single" w:color="000000" w:sz="4" w:space="0"/>
              <w:right w:val="single" w:color="000000" w:sz="4" w:space="0"/>
            </w:tcBorders>
            <w:noWrap w:val="0"/>
            <w:vAlign w:val="center"/>
          </w:tcPr>
          <w:p w14:paraId="270BB40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6993AF8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D43732D">
        <w:tblPrEx>
          <w:tblCellMar>
            <w:top w:w="0" w:type="dxa"/>
            <w:left w:w="108" w:type="dxa"/>
            <w:bottom w:w="0" w:type="dxa"/>
            <w:right w:w="108" w:type="dxa"/>
          </w:tblCellMar>
        </w:tblPrEx>
        <w:trPr>
          <w:cantSplit/>
          <w:trHeight w:val="105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000AE1C0">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79A8EC8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施工现场要保持清洁的常态化，各类垃圾和废弃物及时清理，并做到垃圾袋装化，在院方指定地点堆放</w:t>
            </w:r>
          </w:p>
        </w:tc>
        <w:tc>
          <w:tcPr>
            <w:tcW w:w="427" w:type="pct"/>
            <w:tcBorders>
              <w:top w:val="nil"/>
              <w:left w:val="nil"/>
              <w:bottom w:val="single" w:color="000000" w:sz="4" w:space="0"/>
              <w:right w:val="single" w:color="000000" w:sz="4" w:space="0"/>
            </w:tcBorders>
            <w:noWrap w:val="0"/>
            <w:vAlign w:val="center"/>
          </w:tcPr>
          <w:p w14:paraId="7CADFA0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2630054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41" w:type="pct"/>
            <w:tcBorders>
              <w:top w:val="nil"/>
              <w:left w:val="nil"/>
              <w:bottom w:val="single" w:color="000000" w:sz="4" w:space="0"/>
              <w:right w:val="single" w:color="000000" w:sz="4" w:space="0"/>
            </w:tcBorders>
            <w:noWrap w:val="0"/>
            <w:vAlign w:val="center"/>
          </w:tcPr>
          <w:p w14:paraId="474DA45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502DFE5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301EF52">
        <w:tblPrEx>
          <w:tblCellMar>
            <w:top w:w="0" w:type="dxa"/>
            <w:left w:w="108" w:type="dxa"/>
            <w:bottom w:w="0" w:type="dxa"/>
            <w:right w:w="108" w:type="dxa"/>
          </w:tblCellMar>
        </w:tblPrEx>
        <w:trPr>
          <w:cantSplit/>
          <w:trHeight w:val="18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26A769A1">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5377C1D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人员有责任与义务做好成品保护工作，不得踩压、靠坐工程制品（包括半制品、购买成品），或在上放置、吊挂、粘贴物品；对于甲方放置在现场的物品做好保管，不得发生浸泡、暴晒、弃置、故意破坏等不负责任的现象</w:t>
            </w:r>
          </w:p>
        </w:tc>
        <w:tc>
          <w:tcPr>
            <w:tcW w:w="427" w:type="pct"/>
            <w:tcBorders>
              <w:top w:val="nil"/>
              <w:left w:val="nil"/>
              <w:bottom w:val="single" w:color="000000" w:sz="4" w:space="0"/>
              <w:right w:val="single" w:color="000000" w:sz="4" w:space="0"/>
            </w:tcBorders>
            <w:noWrap w:val="0"/>
            <w:vAlign w:val="center"/>
          </w:tcPr>
          <w:p w14:paraId="36DEAD95">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401C26E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w:t>
            </w:r>
          </w:p>
        </w:tc>
        <w:tc>
          <w:tcPr>
            <w:tcW w:w="641" w:type="pct"/>
            <w:tcBorders>
              <w:top w:val="nil"/>
              <w:left w:val="nil"/>
              <w:bottom w:val="single" w:color="000000" w:sz="4" w:space="0"/>
              <w:right w:val="single" w:color="000000" w:sz="4" w:space="0"/>
            </w:tcBorders>
            <w:noWrap w:val="0"/>
            <w:vAlign w:val="center"/>
          </w:tcPr>
          <w:p w14:paraId="3EE1026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0862E46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2140248">
        <w:tblPrEx>
          <w:tblCellMar>
            <w:top w:w="0" w:type="dxa"/>
            <w:left w:w="108" w:type="dxa"/>
            <w:bottom w:w="0" w:type="dxa"/>
            <w:right w:w="108" w:type="dxa"/>
          </w:tblCellMar>
        </w:tblPrEx>
        <w:trPr>
          <w:cantSplit/>
          <w:trHeight w:val="675"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27381006">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1CBB42A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严禁随手向室外乱抛杂物，油漆稀料不得倒入下水管道</w:t>
            </w:r>
          </w:p>
        </w:tc>
        <w:tc>
          <w:tcPr>
            <w:tcW w:w="427" w:type="pct"/>
            <w:tcBorders>
              <w:top w:val="nil"/>
              <w:left w:val="nil"/>
              <w:bottom w:val="single" w:color="000000" w:sz="4" w:space="0"/>
              <w:right w:val="single" w:color="000000" w:sz="4" w:space="0"/>
            </w:tcBorders>
            <w:noWrap w:val="0"/>
            <w:vAlign w:val="center"/>
          </w:tcPr>
          <w:p w14:paraId="25E8D2B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62EFCE9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发现一次扣2分，发现2次扣5分</w:t>
            </w:r>
          </w:p>
        </w:tc>
        <w:tc>
          <w:tcPr>
            <w:tcW w:w="641" w:type="pct"/>
            <w:tcBorders>
              <w:top w:val="nil"/>
              <w:left w:val="nil"/>
              <w:bottom w:val="single" w:color="000000" w:sz="4" w:space="0"/>
              <w:right w:val="single" w:color="000000" w:sz="4" w:space="0"/>
            </w:tcBorders>
            <w:noWrap w:val="0"/>
            <w:vAlign w:val="center"/>
          </w:tcPr>
          <w:p w14:paraId="43BCAFE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294A685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38CD27A">
        <w:tblPrEx>
          <w:tblCellMar>
            <w:top w:w="0" w:type="dxa"/>
            <w:left w:w="108" w:type="dxa"/>
            <w:bottom w:w="0" w:type="dxa"/>
            <w:right w:w="108" w:type="dxa"/>
          </w:tblCellMar>
        </w:tblPrEx>
        <w:trPr>
          <w:cantSplit/>
          <w:trHeight w:val="87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5100C969">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624C603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工程每日结束后，施工人员离开工地时应关好门窗，并切断区域内电源、水源和空调</w:t>
            </w:r>
          </w:p>
        </w:tc>
        <w:tc>
          <w:tcPr>
            <w:tcW w:w="427" w:type="pct"/>
            <w:tcBorders>
              <w:top w:val="nil"/>
              <w:left w:val="nil"/>
              <w:bottom w:val="single" w:color="000000" w:sz="4" w:space="0"/>
              <w:right w:val="single" w:color="000000" w:sz="4" w:space="0"/>
            </w:tcBorders>
            <w:noWrap w:val="0"/>
            <w:vAlign w:val="center"/>
          </w:tcPr>
          <w:p w14:paraId="51175B7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655B762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41" w:type="pct"/>
            <w:tcBorders>
              <w:top w:val="nil"/>
              <w:left w:val="nil"/>
              <w:bottom w:val="single" w:color="000000" w:sz="4" w:space="0"/>
              <w:right w:val="single" w:color="000000" w:sz="4" w:space="0"/>
            </w:tcBorders>
            <w:noWrap w:val="0"/>
            <w:vAlign w:val="center"/>
          </w:tcPr>
          <w:p w14:paraId="5A4A456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789B462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8B9385E">
        <w:tblPrEx>
          <w:tblCellMar>
            <w:top w:w="0" w:type="dxa"/>
            <w:left w:w="108" w:type="dxa"/>
            <w:bottom w:w="0" w:type="dxa"/>
            <w:right w:w="108" w:type="dxa"/>
          </w:tblCellMar>
        </w:tblPrEx>
        <w:trPr>
          <w:cantSplit/>
          <w:trHeight w:val="1185"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310A1450">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0F68DF1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施工人员必须礼貌接待院方工作人员，严禁与医护人员等发生争吵</w:t>
            </w:r>
          </w:p>
        </w:tc>
        <w:tc>
          <w:tcPr>
            <w:tcW w:w="427" w:type="pct"/>
            <w:tcBorders>
              <w:top w:val="nil"/>
              <w:left w:val="nil"/>
              <w:bottom w:val="single" w:color="000000" w:sz="4" w:space="0"/>
              <w:right w:val="single" w:color="000000" w:sz="4" w:space="0"/>
            </w:tcBorders>
            <w:noWrap w:val="0"/>
            <w:vAlign w:val="center"/>
          </w:tcPr>
          <w:p w14:paraId="69A5E7F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40C01CF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未做到礼貌接待一次扣0.5分，发生争吵一次扣5分</w:t>
            </w:r>
          </w:p>
        </w:tc>
        <w:tc>
          <w:tcPr>
            <w:tcW w:w="641" w:type="pct"/>
            <w:tcBorders>
              <w:top w:val="nil"/>
              <w:left w:val="nil"/>
              <w:bottom w:val="single" w:color="000000" w:sz="4" w:space="0"/>
              <w:right w:val="single" w:color="000000" w:sz="4" w:space="0"/>
            </w:tcBorders>
            <w:noWrap w:val="0"/>
            <w:vAlign w:val="center"/>
          </w:tcPr>
          <w:p w14:paraId="3401A63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6C40E16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0CC9A83">
        <w:tblPrEx>
          <w:tblCellMar>
            <w:top w:w="0" w:type="dxa"/>
            <w:left w:w="108" w:type="dxa"/>
            <w:bottom w:w="0" w:type="dxa"/>
            <w:right w:w="108" w:type="dxa"/>
          </w:tblCellMar>
        </w:tblPrEx>
        <w:trPr>
          <w:trHeight w:val="465" w:hRule="atLeast"/>
        </w:trPr>
        <w:tc>
          <w:tcPr>
            <w:tcW w:w="364" w:type="pct"/>
            <w:tcBorders>
              <w:top w:val="nil"/>
              <w:left w:val="single" w:color="000000" w:sz="8" w:space="0"/>
              <w:bottom w:val="single" w:color="000000" w:sz="4" w:space="0"/>
              <w:right w:val="single" w:color="000000" w:sz="4" w:space="0"/>
            </w:tcBorders>
            <w:noWrap w:val="0"/>
            <w:vAlign w:val="center"/>
          </w:tcPr>
          <w:p w14:paraId="144BCCA5">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合计</w:t>
            </w:r>
          </w:p>
        </w:tc>
        <w:tc>
          <w:tcPr>
            <w:tcW w:w="2068" w:type="pct"/>
            <w:tcBorders>
              <w:top w:val="nil"/>
              <w:left w:val="nil"/>
              <w:bottom w:val="single" w:color="000000" w:sz="4" w:space="0"/>
              <w:right w:val="single" w:color="000000" w:sz="4" w:space="0"/>
            </w:tcBorders>
            <w:noWrap w:val="0"/>
            <w:vAlign w:val="center"/>
          </w:tcPr>
          <w:p w14:paraId="135B723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27" w:type="pct"/>
            <w:tcBorders>
              <w:top w:val="nil"/>
              <w:left w:val="nil"/>
              <w:bottom w:val="single" w:color="000000" w:sz="4" w:space="0"/>
              <w:right w:val="single" w:color="000000" w:sz="4" w:space="0"/>
            </w:tcBorders>
            <w:noWrap w:val="0"/>
            <w:vAlign w:val="center"/>
          </w:tcPr>
          <w:p w14:paraId="7EF99198">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100</w:t>
            </w:r>
          </w:p>
        </w:tc>
        <w:tc>
          <w:tcPr>
            <w:tcW w:w="1140" w:type="pct"/>
            <w:tcBorders>
              <w:top w:val="nil"/>
              <w:left w:val="nil"/>
              <w:bottom w:val="single" w:color="000000" w:sz="4" w:space="0"/>
              <w:right w:val="single" w:color="000000" w:sz="4" w:space="0"/>
            </w:tcBorders>
            <w:noWrap w:val="0"/>
            <w:vAlign w:val="center"/>
          </w:tcPr>
          <w:p w14:paraId="538333B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9" w:type="pct"/>
            <w:gridSpan w:val="2"/>
            <w:tcBorders>
              <w:top w:val="single" w:color="000000" w:sz="4" w:space="0"/>
              <w:left w:val="nil"/>
              <w:bottom w:val="single" w:color="000000" w:sz="4" w:space="0"/>
              <w:right w:val="single" w:color="000000" w:sz="8" w:space="0"/>
            </w:tcBorders>
            <w:noWrap w:val="0"/>
            <w:vAlign w:val="center"/>
          </w:tcPr>
          <w:p w14:paraId="256D167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09FC5A9">
        <w:tblPrEx>
          <w:tblCellMar>
            <w:top w:w="0" w:type="dxa"/>
            <w:left w:w="108" w:type="dxa"/>
            <w:bottom w:w="0" w:type="dxa"/>
            <w:right w:w="108" w:type="dxa"/>
          </w:tblCellMar>
        </w:tblPrEx>
        <w:trPr>
          <w:trHeight w:val="703" w:hRule="atLeast"/>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58A21DB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说明</w:t>
            </w:r>
          </w:p>
        </w:tc>
        <w:tc>
          <w:tcPr>
            <w:tcW w:w="4635" w:type="pct"/>
            <w:gridSpan w:val="5"/>
            <w:tcBorders>
              <w:top w:val="single" w:color="000000" w:sz="4" w:space="0"/>
              <w:left w:val="single" w:color="000000" w:sz="4" w:space="0"/>
              <w:bottom w:val="single" w:color="000000" w:sz="4" w:space="0"/>
              <w:right w:val="single" w:color="000000" w:sz="4" w:space="0"/>
            </w:tcBorders>
            <w:noWrap w:val="0"/>
            <w:vAlign w:val="center"/>
          </w:tcPr>
          <w:p w14:paraId="10A6718C">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项目</w:t>
            </w:r>
            <w:r>
              <w:rPr>
                <w:color w:val="000000" w:themeColor="text1"/>
                <w:sz w:val="24"/>
                <w:highlight w:val="none"/>
                <w14:textFill>
                  <w14:solidFill>
                    <w14:schemeClr w14:val="tx1"/>
                  </w14:solidFill>
                </w14:textFill>
              </w:rPr>
              <w:t>结算时</w:t>
            </w:r>
            <w:r>
              <w:rPr>
                <w:rFonts w:hint="eastAsia"/>
                <w:color w:val="000000" w:themeColor="text1"/>
                <w:sz w:val="24"/>
                <w:highlight w:val="none"/>
                <w14:textFill>
                  <w14:solidFill>
                    <w14:schemeClr w14:val="tx1"/>
                  </w14:solidFill>
                </w14:textFill>
              </w:rPr>
              <w:t>费用与考评得分挂钩，高于95分不扣工程费用；扣满5分后，每扣一分，扣款200元；扣满10分后，每扣一分，扣款500元</w:t>
            </w:r>
          </w:p>
        </w:tc>
      </w:tr>
    </w:tbl>
    <w:p w14:paraId="0C16398C">
      <w:pPr>
        <w:spacing w:line="360" w:lineRule="auto"/>
        <w:ind w:firstLine="480"/>
        <w:rPr>
          <w:rFonts w:hint="eastAsia" w:ascii="Calibri" w:hAnsi="Calibri"/>
          <w:color w:val="000000" w:themeColor="text1"/>
          <w:sz w:val="24"/>
          <w:highlight w:val="none"/>
          <w14:textFill>
            <w14:solidFill>
              <w14:schemeClr w14:val="tx1"/>
            </w14:solidFill>
          </w14:textFill>
        </w:rPr>
      </w:pPr>
    </w:p>
    <w:p w14:paraId="329ADF5D">
      <w:pPr>
        <w:spacing w:line="360" w:lineRule="auto"/>
        <w:ind w:firstLine="480"/>
        <w:rPr>
          <w:rFonts w:hint="eastAsia" w:ascii="Calibri" w:hAnsi="Calibri"/>
          <w:color w:val="000000" w:themeColor="text1"/>
          <w:sz w:val="24"/>
          <w:highlight w:val="none"/>
          <w14:textFill>
            <w14:solidFill>
              <w14:schemeClr w14:val="tx1"/>
            </w14:solidFill>
          </w14:textFill>
        </w:rPr>
      </w:pPr>
    </w:p>
    <w:tbl>
      <w:tblPr>
        <w:tblStyle w:val="62"/>
        <w:tblW w:w="5000" w:type="pct"/>
        <w:tblInd w:w="0" w:type="dxa"/>
        <w:tblLayout w:type="autofit"/>
        <w:tblCellMar>
          <w:top w:w="0" w:type="dxa"/>
          <w:left w:w="108" w:type="dxa"/>
          <w:bottom w:w="0" w:type="dxa"/>
          <w:right w:w="108" w:type="dxa"/>
        </w:tblCellMar>
      </w:tblPr>
      <w:tblGrid>
        <w:gridCol w:w="708"/>
        <w:gridCol w:w="3926"/>
        <w:gridCol w:w="1075"/>
        <w:gridCol w:w="1278"/>
        <w:gridCol w:w="1148"/>
        <w:gridCol w:w="902"/>
      </w:tblGrid>
      <w:tr w14:paraId="52A6F5E4">
        <w:tblPrEx>
          <w:tblCellMar>
            <w:top w:w="0" w:type="dxa"/>
            <w:left w:w="108" w:type="dxa"/>
            <w:bottom w:w="0" w:type="dxa"/>
            <w:right w:w="108" w:type="dxa"/>
          </w:tblCellMar>
        </w:tblPrEx>
        <w:trPr>
          <w:trHeight w:val="553" w:hRule="atLeast"/>
        </w:trPr>
        <w:tc>
          <w:tcPr>
            <w:tcW w:w="5000" w:type="pct"/>
            <w:gridSpan w:val="6"/>
            <w:tcBorders>
              <w:top w:val="single" w:color="000000" w:sz="8" w:space="0"/>
              <w:left w:val="single" w:color="000000" w:sz="8" w:space="0"/>
              <w:bottom w:val="nil"/>
              <w:right w:val="single" w:color="000000" w:sz="8" w:space="0"/>
            </w:tcBorders>
            <w:noWrap w:val="0"/>
            <w:vAlign w:val="center"/>
          </w:tcPr>
          <w:p w14:paraId="390A3347">
            <w:pPr>
              <w:widowControl/>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无锡市第二人民医院南北院零星修缮采购</w:t>
            </w:r>
            <w:r>
              <w:rPr>
                <w:rFonts w:hint="eastAsia" w:ascii="宋体" w:hAnsi="宋体" w:cs="宋体"/>
                <w:b/>
                <w:bCs/>
                <w:color w:val="000000" w:themeColor="text1"/>
                <w:sz w:val="24"/>
                <w:highlight w:val="none"/>
                <w14:textFill>
                  <w14:solidFill>
                    <w14:schemeClr w14:val="tx1"/>
                  </w14:solidFill>
                </w14:textFill>
              </w:rPr>
              <w:t>项目安全施工考核表</w:t>
            </w:r>
          </w:p>
        </w:tc>
      </w:tr>
      <w:tr w14:paraId="0485A6A6">
        <w:tblPrEx>
          <w:tblCellMar>
            <w:top w:w="0" w:type="dxa"/>
            <w:left w:w="108" w:type="dxa"/>
            <w:bottom w:w="0" w:type="dxa"/>
            <w:right w:w="108" w:type="dxa"/>
          </w:tblCellMar>
        </w:tblPrEx>
        <w:trPr>
          <w:trHeight w:val="510" w:hRule="atLeast"/>
        </w:trPr>
        <w:tc>
          <w:tcPr>
            <w:tcW w:w="391" w:type="pct"/>
            <w:tcBorders>
              <w:top w:val="single" w:color="000000" w:sz="4" w:space="0"/>
              <w:left w:val="single" w:color="000000" w:sz="8" w:space="0"/>
              <w:bottom w:val="single" w:color="000000" w:sz="4" w:space="0"/>
              <w:right w:val="single" w:color="000000" w:sz="4" w:space="0"/>
            </w:tcBorders>
            <w:noWrap w:val="0"/>
            <w:vAlign w:val="center"/>
          </w:tcPr>
          <w:p w14:paraId="41FA450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施工项目 </w:t>
            </w:r>
          </w:p>
        </w:tc>
        <w:tc>
          <w:tcPr>
            <w:tcW w:w="2173" w:type="pct"/>
            <w:tcBorders>
              <w:top w:val="single" w:color="000000" w:sz="4" w:space="0"/>
              <w:left w:val="nil"/>
              <w:bottom w:val="single" w:color="000000" w:sz="4" w:space="0"/>
              <w:right w:val="single" w:color="000000" w:sz="4" w:space="0"/>
            </w:tcBorders>
            <w:noWrap w:val="0"/>
            <w:vAlign w:val="center"/>
          </w:tcPr>
          <w:p w14:paraId="6D8DF9EC">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595" w:type="pct"/>
            <w:tcBorders>
              <w:top w:val="single" w:color="000000" w:sz="4" w:space="0"/>
              <w:left w:val="nil"/>
              <w:bottom w:val="single" w:color="000000" w:sz="4" w:space="0"/>
              <w:right w:val="single" w:color="000000" w:sz="4" w:space="0"/>
            </w:tcBorders>
            <w:noWrap w:val="0"/>
            <w:vAlign w:val="center"/>
          </w:tcPr>
          <w:p w14:paraId="3CEC3F9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施工单位</w:t>
            </w:r>
          </w:p>
        </w:tc>
        <w:tc>
          <w:tcPr>
            <w:tcW w:w="1839" w:type="pct"/>
            <w:gridSpan w:val="3"/>
            <w:tcBorders>
              <w:top w:val="single" w:color="000000" w:sz="4" w:space="0"/>
              <w:left w:val="nil"/>
              <w:bottom w:val="single" w:color="000000" w:sz="4" w:space="0"/>
              <w:right w:val="single" w:color="000000" w:sz="8" w:space="0"/>
            </w:tcBorders>
            <w:noWrap w:val="0"/>
            <w:vAlign w:val="center"/>
          </w:tcPr>
          <w:p w14:paraId="0E6D162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FC7F66F">
        <w:tblPrEx>
          <w:tblCellMar>
            <w:top w:w="0" w:type="dxa"/>
            <w:left w:w="108" w:type="dxa"/>
            <w:bottom w:w="0" w:type="dxa"/>
            <w:right w:w="108" w:type="dxa"/>
          </w:tblCellMar>
        </w:tblPrEx>
        <w:trPr>
          <w:trHeight w:val="510" w:hRule="atLeast"/>
        </w:trPr>
        <w:tc>
          <w:tcPr>
            <w:tcW w:w="391" w:type="pct"/>
            <w:tcBorders>
              <w:top w:val="nil"/>
              <w:left w:val="single" w:color="000000" w:sz="8" w:space="0"/>
              <w:bottom w:val="single" w:color="000000" w:sz="4" w:space="0"/>
              <w:right w:val="single" w:color="000000" w:sz="4" w:space="0"/>
            </w:tcBorders>
            <w:noWrap w:val="0"/>
            <w:vAlign w:val="center"/>
          </w:tcPr>
          <w:p w14:paraId="29CE86E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考核时间</w:t>
            </w:r>
          </w:p>
        </w:tc>
        <w:tc>
          <w:tcPr>
            <w:tcW w:w="2173" w:type="pct"/>
            <w:tcBorders>
              <w:top w:val="nil"/>
              <w:left w:val="nil"/>
              <w:bottom w:val="single" w:color="000000" w:sz="4" w:space="0"/>
              <w:right w:val="single" w:color="000000" w:sz="4" w:space="0"/>
            </w:tcBorders>
            <w:noWrap w:val="0"/>
            <w:vAlign w:val="center"/>
          </w:tcPr>
          <w:p w14:paraId="708D22B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595" w:type="pct"/>
            <w:tcBorders>
              <w:top w:val="nil"/>
              <w:left w:val="nil"/>
              <w:bottom w:val="single" w:color="000000" w:sz="4" w:space="0"/>
              <w:right w:val="single" w:color="000000" w:sz="4" w:space="0"/>
            </w:tcBorders>
            <w:noWrap w:val="0"/>
            <w:vAlign w:val="center"/>
          </w:tcPr>
          <w:p w14:paraId="727CD655">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考核者</w:t>
            </w:r>
          </w:p>
        </w:tc>
        <w:tc>
          <w:tcPr>
            <w:tcW w:w="707" w:type="pct"/>
            <w:tcBorders>
              <w:top w:val="nil"/>
              <w:left w:val="nil"/>
              <w:bottom w:val="single" w:color="000000" w:sz="4" w:space="0"/>
              <w:right w:val="single" w:color="000000" w:sz="4" w:space="0"/>
            </w:tcBorders>
            <w:noWrap w:val="0"/>
            <w:vAlign w:val="center"/>
          </w:tcPr>
          <w:p w14:paraId="0A73652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635" w:type="pct"/>
            <w:tcBorders>
              <w:top w:val="nil"/>
              <w:left w:val="nil"/>
              <w:bottom w:val="single" w:color="000000" w:sz="4" w:space="0"/>
              <w:right w:val="single" w:color="000000" w:sz="4" w:space="0"/>
            </w:tcBorders>
            <w:noWrap w:val="0"/>
            <w:vAlign w:val="center"/>
          </w:tcPr>
          <w:p w14:paraId="15430C2B">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考核得分</w:t>
            </w:r>
          </w:p>
        </w:tc>
        <w:tc>
          <w:tcPr>
            <w:tcW w:w="496" w:type="pct"/>
            <w:tcBorders>
              <w:top w:val="nil"/>
              <w:left w:val="nil"/>
              <w:bottom w:val="single" w:color="000000" w:sz="4" w:space="0"/>
              <w:right w:val="single" w:color="000000" w:sz="8" w:space="0"/>
            </w:tcBorders>
            <w:noWrap w:val="0"/>
            <w:vAlign w:val="center"/>
          </w:tcPr>
          <w:p w14:paraId="464F214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F72C089">
        <w:tblPrEx>
          <w:tblCellMar>
            <w:top w:w="0" w:type="dxa"/>
            <w:left w:w="108" w:type="dxa"/>
            <w:bottom w:w="0" w:type="dxa"/>
            <w:right w:w="108" w:type="dxa"/>
          </w:tblCellMar>
        </w:tblPrEx>
        <w:trPr>
          <w:trHeight w:val="720" w:hRule="atLeast"/>
        </w:trPr>
        <w:tc>
          <w:tcPr>
            <w:tcW w:w="391" w:type="pct"/>
            <w:tcBorders>
              <w:top w:val="nil"/>
              <w:left w:val="single" w:color="000000" w:sz="8" w:space="0"/>
              <w:bottom w:val="single" w:color="000000" w:sz="4" w:space="0"/>
              <w:right w:val="single" w:color="000000" w:sz="4" w:space="0"/>
            </w:tcBorders>
            <w:noWrap w:val="0"/>
            <w:vAlign w:val="center"/>
          </w:tcPr>
          <w:p w14:paraId="3F56362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考核项目</w:t>
            </w:r>
          </w:p>
        </w:tc>
        <w:tc>
          <w:tcPr>
            <w:tcW w:w="2173" w:type="pct"/>
            <w:tcBorders>
              <w:top w:val="nil"/>
              <w:left w:val="nil"/>
              <w:bottom w:val="single" w:color="000000" w:sz="4" w:space="0"/>
              <w:right w:val="single" w:color="000000" w:sz="4" w:space="0"/>
            </w:tcBorders>
            <w:noWrap w:val="0"/>
            <w:vAlign w:val="center"/>
          </w:tcPr>
          <w:p w14:paraId="63D0FC3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考核内容</w:t>
            </w:r>
          </w:p>
        </w:tc>
        <w:tc>
          <w:tcPr>
            <w:tcW w:w="595" w:type="pct"/>
            <w:tcBorders>
              <w:top w:val="nil"/>
              <w:left w:val="nil"/>
              <w:bottom w:val="single" w:color="000000" w:sz="4" w:space="0"/>
              <w:right w:val="single" w:color="000000" w:sz="4" w:space="0"/>
            </w:tcBorders>
            <w:noWrap w:val="0"/>
            <w:vAlign w:val="center"/>
          </w:tcPr>
          <w:p w14:paraId="4AC4EB5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分值</w:t>
            </w:r>
          </w:p>
        </w:tc>
        <w:tc>
          <w:tcPr>
            <w:tcW w:w="707" w:type="pct"/>
            <w:tcBorders>
              <w:top w:val="nil"/>
              <w:left w:val="nil"/>
              <w:bottom w:val="single" w:color="000000" w:sz="4" w:space="0"/>
              <w:right w:val="single" w:color="000000" w:sz="4" w:space="0"/>
            </w:tcBorders>
            <w:noWrap w:val="0"/>
            <w:vAlign w:val="center"/>
          </w:tcPr>
          <w:p w14:paraId="3D13E9F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扣分细则</w:t>
            </w:r>
          </w:p>
        </w:tc>
        <w:tc>
          <w:tcPr>
            <w:tcW w:w="635" w:type="pct"/>
            <w:tcBorders>
              <w:top w:val="nil"/>
              <w:left w:val="nil"/>
              <w:bottom w:val="single" w:color="000000" w:sz="4" w:space="0"/>
              <w:right w:val="single" w:color="000000" w:sz="4" w:space="0"/>
            </w:tcBorders>
            <w:noWrap w:val="0"/>
            <w:vAlign w:val="center"/>
          </w:tcPr>
          <w:p w14:paraId="0CA4A238">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考核扣分及原因</w:t>
            </w:r>
          </w:p>
        </w:tc>
        <w:tc>
          <w:tcPr>
            <w:tcW w:w="496" w:type="pct"/>
            <w:tcBorders>
              <w:top w:val="nil"/>
              <w:left w:val="nil"/>
              <w:bottom w:val="single" w:color="000000" w:sz="4" w:space="0"/>
              <w:right w:val="single" w:color="000000" w:sz="8" w:space="0"/>
            </w:tcBorders>
            <w:noWrap w:val="0"/>
            <w:vAlign w:val="center"/>
          </w:tcPr>
          <w:p w14:paraId="63A6CD7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得分</w:t>
            </w:r>
          </w:p>
        </w:tc>
      </w:tr>
      <w:tr w14:paraId="545B9FFA">
        <w:tblPrEx>
          <w:tblCellMar>
            <w:top w:w="0" w:type="dxa"/>
            <w:left w:w="108" w:type="dxa"/>
            <w:bottom w:w="0" w:type="dxa"/>
            <w:right w:w="108" w:type="dxa"/>
          </w:tblCellMar>
        </w:tblPrEx>
        <w:trPr>
          <w:cantSplit/>
          <w:trHeight w:val="705" w:hRule="atLeast"/>
        </w:trPr>
        <w:tc>
          <w:tcPr>
            <w:tcW w:w="391" w:type="pct"/>
            <w:vMerge w:val="restart"/>
            <w:tcBorders>
              <w:top w:val="nil"/>
              <w:left w:val="single" w:color="000000" w:sz="8" w:space="0"/>
              <w:bottom w:val="nil"/>
              <w:right w:val="single" w:color="000000" w:sz="4" w:space="0"/>
            </w:tcBorders>
            <w:noWrap w:val="0"/>
            <w:textDirection w:val="tbRlV"/>
            <w:vAlign w:val="center"/>
          </w:tcPr>
          <w:p w14:paraId="78AB5E3D">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安全施工管理</w:t>
            </w:r>
          </w:p>
        </w:tc>
        <w:tc>
          <w:tcPr>
            <w:tcW w:w="2173" w:type="pct"/>
            <w:tcBorders>
              <w:top w:val="nil"/>
              <w:left w:val="nil"/>
              <w:bottom w:val="single" w:color="000000" w:sz="4" w:space="0"/>
              <w:right w:val="single" w:color="000000" w:sz="4" w:space="0"/>
            </w:tcBorders>
            <w:noWrap w:val="0"/>
            <w:vAlign w:val="center"/>
          </w:tcPr>
          <w:p w14:paraId="3EDD047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遵守国家有关安全生产的法律法规，认真执行工程承包合同中的有关安全要求</w:t>
            </w:r>
          </w:p>
        </w:tc>
        <w:tc>
          <w:tcPr>
            <w:tcW w:w="595" w:type="pct"/>
            <w:tcBorders>
              <w:top w:val="nil"/>
              <w:left w:val="nil"/>
              <w:bottom w:val="single" w:color="000000" w:sz="4" w:space="0"/>
              <w:right w:val="single" w:color="000000" w:sz="4" w:space="0"/>
            </w:tcBorders>
            <w:noWrap w:val="0"/>
            <w:vAlign w:val="center"/>
          </w:tcPr>
          <w:p w14:paraId="1487A6B1">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07" w:type="pct"/>
            <w:tcBorders>
              <w:top w:val="nil"/>
              <w:left w:val="nil"/>
              <w:bottom w:val="single" w:color="000000" w:sz="4" w:space="0"/>
              <w:right w:val="single" w:color="000000" w:sz="4" w:space="0"/>
            </w:tcBorders>
            <w:noWrap w:val="0"/>
            <w:vAlign w:val="center"/>
          </w:tcPr>
          <w:p w14:paraId="6349BE4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35" w:type="pct"/>
            <w:tcBorders>
              <w:top w:val="nil"/>
              <w:left w:val="nil"/>
              <w:bottom w:val="single" w:color="000000" w:sz="4" w:space="0"/>
              <w:right w:val="single" w:color="000000" w:sz="4" w:space="0"/>
            </w:tcBorders>
            <w:noWrap w:val="0"/>
            <w:vAlign w:val="center"/>
          </w:tcPr>
          <w:p w14:paraId="3926955C">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41D954F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9604BEE">
        <w:tblPrEx>
          <w:tblCellMar>
            <w:top w:w="0" w:type="dxa"/>
            <w:left w:w="108" w:type="dxa"/>
            <w:bottom w:w="0" w:type="dxa"/>
            <w:right w:w="108" w:type="dxa"/>
          </w:tblCellMar>
        </w:tblPrEx>
        <w:trPr>
          <w:cantSplit/>
          <w:trHeight w:val="1470" w:hRule="atLeast"/>
        </w:trPr>
        <w:tc>
          <w:tcPr>
            <w:tcW w:w="391" w:type="pct"/>
            <w:vMerge w:val="continue"/>
            <w:tcBorders>
              <w:top w:val="nil"/>
              <w:left w:val="single" w:color="000000" w:sz="8" w:space="0"/>
              <w:bottom w:val="nil"/>
              <w:right w:val="single" w:color="000000" w:sz="4" w:space="0"/>
            </w:tcBorders>
            <w:noWrap w:val="0"/>
            <w:vAlign w:val="center"/>
          </w:tcPr>
          <w:p w14:paraId="7DAC70A7">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0AE6EAB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坚持</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安全第一</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预防为主，综合治理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的原则</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加强安全生产宣传教育和培训，增强施工人员安全生产意识，建立健全各项安全生产的管理机构和安全生产管理制度</w:t>
            </w:r>
          </w:p>
        </w:tc>
        <w:tc>
          <w:tcPr>
            <w:tcW w:w="595" w:type="pct"/>
            <w:tcBorders>
              <w:top w:val="nil"/>
              <w:left w:val="nil"/>
              <w:bottom w:val="single" w:color="000000" w:sz="4" w:space="0"/>
              <w:right w:val="single" w:color="000000" w:sz="4" w:space="0"/>
            </w:tcBorders>
            <w:noWrap w:val="0"/>
            <w:vAlign w:val="center"/>
          </w:tcPr>
          <w:p w14:paraId="0EE7935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07" w:type="pct"/>
            <w:tcBorders>
              <w:top w:val="nil"/>
              <w:left w:val="nil"/>
              <w:bottom w:val="single" w:color="000000" w:sz="4" w:space="0"/>
              <w:right w:val="single" w:color="000000" w:sz="4" w:space="0"/>
            </w:tcBorders>
            <w:noWrap w:val="0"/>
            <w:vAlign w:val="center"/>
          </w:tcPr>
          <w:p w14:paraId="0049AA1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未做到一项扣1分</w:t>
            </w:r>
          </w:p>
        </w:tc>
        <w:tc>
          <w:tcPr>
            <w:tcW w:w="635" w:type="pct"/>
            <w:tcBorders>
              <w:top w:val="nil"/>
              <w:left w:val="nil"/>
              <w:bottom w:val="single" w:color="000000" w:sz="4" w:space="0"/>
              <w:right w:val="single" w:color="000000" w:sz="4" w:space="0"/>
            </w:tcBorders>
            <w:noWrap w:val="0"/>
            <w:vAlign w:val="center"/>
          </w:tcPr>
          <w:p w14:paraId="069D8CC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362B129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BA63335">
        <w:tblPrEx>
          <w:tblCellMar>
            <w:top w:w="0" w:type="dxa"/>
            <w:left w:w="108" w:type="dxa"/>
            <w:bottom w:w="0" w:type="dxa"/>
            <w:right w:w="108" w:type="dxa"/>
          </w:tblCellMar>
        </w:tblPrEx>
        <w:trPr>
          <w:cantSplit/>
          <w:trHeight w:val="1110" w:hRule="atLeast"/>
        </w:trPr>
        <w:tc>
          <w:tcPr>
            <w:tcW w:w="391" w:type="pct"/>
            <w:vMerge w:val="continue"/>
            <w:tcBorders>
              <w:top w:val="nil"/>
              <w:left w:val="single" w:color="000000" w:sz="8" w:space="0"/>
              <w:bottom w:val="nil"/>
              <w:right w:val="single" w:color="000000" w:sz="4" w:space="0"/>
            </w:tcBorders>
            <w:noWrap w:val="0"/>
            <w:vAlign w:val="center"/>
          </w:tcPr>
          <w:p w14:paraId="28440F9F">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15D1572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施工现场需配备专职或兼职安全检查人员</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有组织开展安全生产活动，做到施工与安全工作同时计划</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布置</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检查</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总结</w:t>
            </w:r>
          </w:p>
        </w:tc>
        <w:tc>
          <w:tcPr>
            <w:tcW w:w="595" w:type="pct"/>
            <w:tcBorders>
              <w:top w:val="nil"/>
              <w:left w:val="nil"/>
              <w:bottom w:val="single" w:color="000000" w:sz="4" w:space="0"/>
              <w:right w:val="single" w:color="000000" w:sz="4" w:space="0"/>
            </w:tcBorders>
            <w:noWrap w:val="0"/>
            <w:vAlign w:val="center"/>
          </w:tcPr>
          <w:p w14:paraId="37F6538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07" w:type="pct"/>
            <w:tcBorders>
              <w:top w:val="nil"/>
              <w:left w:val="nil"/>
              <w:bottom w:val="single" w:color="000000" w:sz="4" w:space="0"/>
              <w:right w:val="single" w:color="000000" w:sz="4" w:space="0"/>
            </w:tcBorders>
            <w:noWrap w:val="0"/>
            <w:vAlign w:val="center"/>
          </w:tcPr>
          <w:p w14:paraId="52899BC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35" w:type="pct"/>
            <w:tcBorders>
              <w:top w:val="nil"/>
              <w:left w:val="nil"/>
              <w:bottom w:val="single" w:color="000000" w:sz="4" w:space="0"/>
              <w:right w:val="single" w:color="000000" w:sz="4" w:space="0"/>
            </w:tcBorders>
            <w:noWrap w:val="0"/>
            <w:vAlign w:val="center"/>
          </w:tcPr>
          <w:p w14:paraId="7DFA18F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4C37B6F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9B71D40">
        <w:tblPrEx>
          <w:tblCellMar>
            <w:top w:w="0" w:type="dxa"/>
            <w:left w:w="108" w:type="dxa"/>
            <w:bottom w:w="0" w:type="dxa"/>
            <w:right w:w="108" w:type="dxa"/>
          </w:tblCellMar>
        </w:tblPrEx>
        <w:trPr>
          <w:cantSplit/>
          <w:trHeight w:val="1095" w:hRule="atLeast"/>
        </w:trPr>
        <w:tc>
          <w:tcPr>
            <w:tcW w:w="391" w:type="pct"/>
            <w:vMerge w:val="continue"/>
            <w:tcBorders>
              <w:top w:val="nil"/>
              <w:left w:val="single" w:color="000000" w:sz="8" w:space="0"/>
              <w:bottom w:val="nil"/>
              <w:right w:val="single" w:color="000000" w:sz="4" w:space="0"/>
            </w:tcBorders>
            <w:noWrap w:val="0"/>
            <w:vAlign w:val="center"/>
          </w:tcPr>
          <w:p w14:paraId="3A3C7890">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3E58461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对于易燃易爆的材料除应专门妥善保管之外</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还应配备足够的消防设施</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且施工人员应熟悉消防设备的性能和使用方法</w:t>
            </w:r>
          </w:p>
        </w:tc>
        <w:tc>
          <w:tcPr>
            <w:tcW w:w="595" w:type="pct"/>
            <w:tcBorders>
              <w:top w:val="nil"/>
              <w:left w:val="nil"/>
              <w:bottom w:val="single" w:color="000000" w:sz="4" w:space="0"/>
              <w:right w:val="single" w:color="000000" w:sz="4" w:space="0"/>
            </w:tcBorders>
            <w:noWrap w:val="0"/>
            <w:vAlign w:val="center"/>
          </w:tcPr>
          <w:p w14:paraId="19B311B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07" w:type="pct"/>
            <w:tcBorders>
              <w:top w:val="nil"/>
              <w:left w:val="nil"/>
              <w:bottom w:val="single" w:color="000000" w:sz="4" w:space="0"/>
              <w:right w:val="single" w:color="000000" w:sz="4" w:space="0"/>
            </w:tcBorders>
            <w:noWrap w:val="0"/>
            <w:vAlign w:val="center"/>
          </w:tcPr>
          <w:p w14:paraId="48C8D79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未做到一项扣2分</w:t>
            </w:r>
          </w:p>
        </w:tc>
        <w:tc>
          <w:tcPr>
            <w:tcW w:w="635" w:type="pct"/>
            <w:tcBorders>
              <w:top w:val="nil"/>
              <w:left w:val="nil"/>
              <w:bottom w:val="single" w:color="000000" w:sz="4" w:space="0"/>
              <w:right w:val="single" w:color="000000" w:sz="4" w:space="0"/>
            </w:tcBorders>
            <w:noWrap w:val="0"/>
            <w:vAlign w:val="center"/>
          </w:tcPr>
          <w:p w14:paraId="64B0CC4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15C9304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DF0286E">
        <w:tblPrEx>
          <w:tblCellMar>
            <w:top w:w="0" w:type="dxa"/>
            <w:left w:w="108" w:type="dxa"/>
            <w:bottom w:w="0" w:type="dxa"/>
            <w:right w:w="108" w:type="dxa"/>
          </w:tblCellMar>
        </w:tblPrEx>
        <w:trPr>
          <w:cantSplit/>
          <w:trHeight w:val="600" w:hRule="atLeast"/>
        </w:trPr>
        <w:tc>
          <w:tcPr>
            <w:tcW w:w="391" w:type="pct"/>
            <w:vMerge w:val="continue"/>
            <w:tcBorders>
              <w:top w:val="nil"/>
              <w:left w:val="single" w:color="000000" w:sz="8" w:space="0"/>
              <w:bottom w:val="nil"/>
              <w:right w:val="single" w:color="000000" w:sz="4" w:space="0"/>
            </w:tcBorders>
            <w:noWrap w:val="0"/>
            <w:vAlign w:val="center"/>
          </w:tcPr>
          <w:p w14:paraId="530B2870">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1B14C2AC">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特种作业必须持证上岗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且须按规定穿戴防护用品</w:t>
            </w:r>
          </w:p>
        </w:tc>
        <w:tc>
          <w:tcPr>
            <w:tcW w:w="595" w:type="pct"/>
            <w:tcBorders>
              <w:top w:val="nil"/>
              <w:left w:val="nil"/>
              <w:bottom w:val="single" w:color="000000" w:sz="4" w:space="0"/>
              <w:right w:val="single" w:color="000000" w:sz="4" w:space="0"/>
            </w:tcBorders>
            <w:noWrap w:val="0"/>
            <w:vAlign w:val="center"/>
          </w:tcPr>
          <w:p w14:paraId="10420A5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07" w:type="pct"/>
            <w:tcBorders>
              <w:top w:val="nil"/>
              <w:left w:val="nil"/>
              <w:bottom w:val="single" w:color="000000" w:sz="4" w:space="0"/>
              <w:right w:val="single" w:color="000000" w:sz="4" w:space="0"/>
            </w:tcBorders>
            <w:noWrap w:val="0"/>
            <w:vAlign w:val="center"/>
          </w:tcPr>
          <w:p w14:paraId="2F78608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未做到一次扣5分</w:t>
            </w:r>
          </w:p>
        </w:tc>
        <w:tc>
          <w:tcPr>
            <w:tcW w:w="635" w:type="pct"/>
            <w:tcBorders>
              <w:top w:val="nil"/>
              <w:left w:val="nil"/>
              <w:bottom w:val="single" w:color="000000" w:sz="4" w:space="0"/>
              <w:right w:val="single" w:color="000000" w:sz="4" w:space="0"/>
            </w:tcBorders>
            <w:noWrap w:val="0"/>
            <w:vAlign w:val="center"/>
          </w:tcPr>
          <w:p w14:paraId="59E6438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58E49F9C">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355AD6E">
        <w:tblPrEx>
          <w:tblCellMar>
            <w:top w:w="0" w:type="dxa"/>
            <w:left w:w="108" w:type="dxa"/>
            <w:bottom w:w="0" w:type="dxa"/>
            <w:right w:w="108" w:type="dxa"/>
          </w:tblCellMar>
        </w:tblPrEx>
        <w:trPr>
          <w:cantSplit/>
          <w:trHeight w:val="600" w:hRule="atLeast"/>
        </w:trPr>
        <w:tc>
          <w:tcPr>
            <w:tcW w:w="391" w:type="pct"/>
            <w:vMerge w:val="continue"/>
            <w:tcBorders>
              <w:top w:val="nil"/>
              <w:left w:val="single" w:color="000000" w:sz="8" w:space="0"/>
              <w:bottom w:val="nil"/>
              <w:right w:val="single" w:color="000000" w:sz="4" w:space="0"/>
            </w:tcBorders>
            <w:noWrap w:val="0"/>
            <w:vAlign w:val="center"/>
          </w:tcPr>
          <w:p w14:paraId="01B892DB">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0DBC005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所有施工机具设备和高空作业的设备均应定期检查</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保证其处于完好状态</w:t>
            </w:r>
          </w:p>
        </w:tc>
        <w:tc>
          <w:tcPr>
            <w:tcW w:w="595" w:type="pct"/>
            <w:tcBorders>
              <w:top w:val="nil"/>
              <w:left w:val="nil"/>
              <w:bottom w:val="single" w:color="000000" w:sz="4" w:space="0"/>
              <w:right w:val="single" w:color="000000" w:sz="4" w:space="0"/>
            </w:tcBorders>
            <w:noWrap w:val="0"/>
            <w:vAlign w:val="center"/>
          </w:tcPr>
          <w:p w14:paraId="0255C308">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07" w:type="pct"/>
            <w:tcBorders>
              <w:top w:val="nil"/>
              <w:left w:val="nil"/>
              <w:bottom w:val="single" w:color="000000" w:sz="4" w:space="0"/>
              <w:right w:val="single" w:color="000000" w:sz="4" w:space="0"/>
            </w:tcBorders>
            <w:noWrap w:val="0"/>
            <w:vAlign w:val="center"/>
          </w:tcPr>
          <w:p w14:paraId="5816F5EC">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未做到一次扣5分</w:t>
            </w:r>
          </w:p>
        </w:tc>
        <w:tc>
          <w:tcPr>
            <w:tcW w:w="635" w:type="pct"/>
            <w:tcBorders>
              <w:top w:val="nil"/>
              <w:left w:val="nil"/>
              <w:bottom w:val="single" w:color="000000" w:sz="4" w:space="0"/>
              <w:right w:val="single" w:color="000000" w:sz="4" w:space="0"/>
            </w:tcBorders>
            <w:noWrap w:val="0"/>
            <w:vAlign w:val="center"/>
          </w:tcPr>
          <w:p w14:paraId="065F279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6FA0987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5E6A29B">
        <w:tblPrEx>
          <w:tblCellMar>
            <w:top w:w="0" w:type="dxa"/>
            <w:left w:w="108" w:type="dxa"/>
            <w:bottom w:w="0" w:type="dxa"/>
            <w:right w:w="108" w:type="dxa"/>
          </w:tblCellMar>
        </w:tblPrEx>
        <w:trPr>
          <w:cantSplit/>
          <w:trHeight w:val="2713" w:hRule="atLeast"/>
        </w:trPr>
        <w:tc>
          <w:tcPr>
            <w:tcW w:w="391" w:type="pct"/>
            <w:vMerge w:val="continue"/>
            <w:tcBorders>
              <w:top w:val="nil"/>
              <w:left w:val="single" w:color="000000" w:sz="8" w:space="0"/>
              <w:bottom w:val="nil"/>
              <w:right w:val="single" w:color="000000" w:sz="4" w:space="0"/>
            </w:tcBorders>
            <w:noWrap w:val="0"/>
            <w:vAlign w:val="center"/>
          </w:tcPr>
          <w:p w14:paraId="73D66599">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2FE4BDF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施工现场动用明火，必须向院方提出申请并办理相关手续，经确认后方可在指定地点操作，并配备灭火设备</w:t>
            </w:r>
          </w:p>
        </w:tc>
        <w:tc>
          <w:tcPr>
            <w:tcW w:w="595" w:type="pct"/>
            <w:tcBorders>
              <w:top w:val="nil"/>
              <w:left w:val="nil"/>
              <w:bottom w:val="single" w:color="000000" w:sz="4" w:space="0"/>
              <w:right w:val="single" w:color="000000" w:sz="4" w:space="0"/>
            </w:tcBorders>
            <w:noWrap w:val="0"/>
            <w:vAlign w:val="center"/>
          </w:tcPr>
          <w:p w14:paraId="4D66F1B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07" w:type="pct"/>
            <w:tcBorders>
              <w:top w:val="nil"/>
              <w:left w:val="nil"/>
              <w:bottom w:val="single" w:color="000000" w:sz="4" w:space="0"/>
              <w:right w:val="single" w:color="000000" w:sz="4" w:space="0"/>
            </w:tcBorders>
            <w:noWrap w:val="0"/>
            <w:vAlign w:val="center"/>
          </w:tcPr>
          <w:p w14:paraId="6599D3A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未办理手续扣10分，办理手续但未配备灭火器扣5分</w:t>
            </w:r>
          </w:p>
        </w:tc>
        <w:tc>
          <w:tcPr>
            <w:tcW w:w="635" w:type="pct"/>
            <w:tcBorders>
              <w:top w:val="nil"/>
              <w:left w:val="nil"/>
              <w:bottom w:val="single" w:color="000000" w:sz="4" w:space="0"/>
              <w:right w:val="single" w:color="000000" w:sz="4" w:space="0"/>
            </w:tcBorders>
            <w:noWrap w:val="0"/>
            <w:vAlign w:val="center"/>
          </w:tcPr>
          <w:p w14:paraId="514F1C6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10FC0E5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62820FA">
        <w:tblPrEx>
          <w:tblCellMar>
            <w:top w:w="0" w:type="dxa"/>
            <w:left w:w="108" w:type="dxa"/>
            <w:bottom w:w="0" w:type="dxa"/>
            <w:right w:w="108" w:type="dxa"/>
          </w:tblCellMar>
        </w:tblPrEx>
        <w:trPr>
          <w:cantSplit/>
          <w:trHeight w:val="1050" w:hRule="atLeast"/>
        </w:trPr>
        <w:tc>
          <w:tcPr>
            <w:tcW w:w="391" w:type="pct"/>
            <w:vMerge w:val="continue"/>
            <w:tcBorders>
              <w:top w:val="nil"/>
              <w:left w:val="single" w:color="000000" w:sz="8" w:space="0"/>
              <w:bottom w:val="nil"/>
              <w:right w:val="single" w:color="000000" w:sz="4" w:space="0"/>
            </w:tcBorders>
            <w:noWrap w:val="0"/>
            <w:vAlign w:val="center"/>
          </w:tcPr>
          <w:p w14:paraId="39B356EC">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03264EB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施工中涉及消防设施关、停、改动的，必须事先向院方提出申请，办理相关手续，经确认后方可施工</w:t>
            </w:r>
          </w:p>
        </w:tc>
        <w:tc>
          <w:tcPr>
            <w:tcW w:w="595" w:type="pct"/>
            <w:tcBorders>
              <w:top w:val="nil"/>
              <w:left w:val="nil"/>
              <w:bottom w:val="single" w:color="000000" w:sz="4" w:space="0"/>
              <w:right w:val="single" w:color="000000" w:sz="4" w:space="0"/>
            </w:tcBorders>
            <w:noWrap w:val="0"/>
            <w:vAlign w:val="center"/>
          </w:tcPr>
          <w:p w14:paraId="0FDD170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07" w:type="pct"/>
            <w:tcBorders>
              <w:top w:val="nil"/>
              <w:left w:val="nil"/>
              <w:bottom w:val="single" w:color="000000" w:sz="4" w:space="0"/>
              <w:right w:val="single" w:color="000000" w:sz="4" w:space="0"/>
            </w:tcBorders>
            <w:noWrap w:val="0"/>
            <w:vAlign w:val="center"/>
          </w:tcPr>
          <w:p w14:paraId="066AC14C">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未办理手续一次扣10分</w:t>
            </w:r>
          </w:p>
        </w:tc>
        <w:tc>
          <w:tcPr>
            <w:tcW w:w="635" w:type="pct"/>
            <w:tcBorders>
              <w:top w:val="nil"/>
              <w:left w:val="nil"/>
              <w:bottom w:val="single" w:color="000000" w:sz="4" w:space="0"/>
              <w:right w:val="single" w:color="000000" w:sz="4" w:space="0"/>
            </w:tcBorders>
            <w:noWrap w:val="0"/>
            <w:vAlign w:val="center"/>
          </w:tcPr>
          <w:p w14:paraId="236E47F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34D916F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49D9475">
        <w:tblPrEx>
          <w:tblCellMar>
            <w:top w:w="0" w:type="dxa"/>
            <w:left w:w="108" w:type="dxa"/>
            <w:bottom w:w="0" w:type="dxa"/>
            <w:right w:w="108" w:type="dxa"/>
          </w:tblCellMar>
        </w:tblPrEx>
        <w:trPr>
          <w:cantSplit/>
          <w:trHeight w:val="660" w:hRule="atLeast"/>
        </w:trPr>
        <w:tc>
          <w:tcPr>
            <w:tcW w:w="391" w:type="pct"/>
            <w:vMerge w:val="continue"/>
            <w:tcBorders>
              <w:top w:val="nil"/>
              <w:left w:val="single" w:color="000000" w:sz="8" w:space="0"/>
              <w:bottom w:val="nil"/>
              <w:right w:val="single" w:color="000000" w:sz="4" w:space="0"/>
            </w:tcBorders>
            <w:noWrap w:val="0"/>
            <w:vAlign w:val="center"/>
          </w:tcPr>
          <w:p w14:paraId="14EBE633">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top"/>
          </w:tcPr>
          <w:p w14:paraId="53691EB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施工用电必须严格执行《施工现场临时用电安全技术规范》，禁止乱拉乱接</w:t>
            </w:r>
          </w:p>
        </w:tc>
        <w:tc>
          <w:tcPr>
            <w:tcW w:w="595" w:type="pct"/>
            <w:tcBorders>
              <w:top w:val="nil"/>
              <w:left w:val="nil"/>
              <w:bottom w:val="single" w:color="000000" w:sz="4" w:space="0"/>
              <w:right w:val="single" w:color="000000" w:sz="4" w:space="0"/>
            </w:tcBorders>
            <w:noWrap w:val="0"/>
            <w:vAlign w:val="center"/>
          </w:tcPr>
          <w:p w14:paraId="5363B595">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07" w:type="pct"/>
            <w:tcBorders>
              <w:top w:val="nil"/>
              <w:left w:val="nil"/>
              <w:bottom w:val="single" w:color="000000" w:sz="4" w:space="0"/>
              <w:right w:val="single" w:color="000000" w:sz="4" w:space="0"/>
            </w:tcBorders>
            <w:noWrap w:val="0"/>
            <w:vAlign w:val="center"/>
          </w:tcPr>
          <w:p w14:paraId="123FF7D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发现一次扣2分</w:t>
            </w:r>
          </w:p>
        </w:tc>
        <w:tc>
          <w:tcPr>
            <w:tcW w:w="635" w:type="pct"/>
            <w:tcBorders>
              <w:top w:val="nil"/>
              <w:left w:val="nil"/>
              <w:bottom w:val="single" w:color="000000" w:sz="4" w:space="0"/>
              <w:right w:val="single" w:color="000000" w:sz="4" w:space="0"/>
            </w:tcBorders>
            <w:noWrap w:val="0"/>
            <w:vAlign w:val="center"/>
          </w:tcPr>
          <w:p w14:paraId="38F6F40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20785A9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620A03A">
        <w:tblPrEx>
          <w:tblCellMar>
            <w:top w:w="0" w:type="dxa"/>
            <w:left w:w="108" w:type="dxa"/>
            <w:bottom w:w="0" w:type="dxa"/>
            <w:right w:w="108" w:type="dxa"/>
          </w:tblCellMar>
        </w:tblPrEx>
        <w:trPr>
          <w:cantSplit/>
          <w:trHeight w:val="675" w:hRule="atLeast"/>
        </w:trPr>
        <w:tc>
          <w:tcPr>
            <w:tcW w:w="391" w:type="pct"/>
            <w:vMerge w:val="continue"/>
            <w:tcBorders>
              <w:top w:val="nil"/>
              <w:left w:val="single" w:color="000000" w:sz="8" w:space="0"/>
              <w:bottom w:val="nil"/>
              <w:right w:val="single" w:color="000000" w:sz="4" w:space="0"/>
            </w:tcBorders>
            <w:noWrap w:val="0"/>
            <w:vAlign w:val="center"/>
          </w:tcPr>
          <w:p w14:paraId="1C20BCE2">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7C0DCE7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施工中采用新技术</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新工艺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新设备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新材料时</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必须制定相应的安全技术措施</w:t>
            </w:r>
          </w:p>
        </w:tc>
        <w:tc>
          <w:tcPr>
            <w:tcW w:w="595" w:type="pct"/>
            <w:tcBorders>
              <w:top w:val="nil"/>
              <w:left w:val="nil"/>
              <w:bottom w:val="single" w:color="000000" w:sz="4" w:space="0"/>
              <w:right w:val="single" w:color="000000" w:sz="4" w:space="0"/>
            </w:tcBorders>
            <w:noWrap w:val="0"/>
            <w:vAlign w:val="center"/>
          </w:tcPr>
          <w:p w14:paraId="33D12DB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07" w:type="pct"/>
            <w:tcBorders>
              <w:top w:val="nil"/>
              <w:left w:val="nil"/>
              <w:bottom w:val="single" w:color="000000" w:sz="4" w:space="0"/>
              <w:right w:val="single" w:color="000000" w:sz="4" w:space="0"/>
            </w:tcBorders>
            <w:noWrap w:val="0"/>
            <w:vAlign w:val="center"/>
          </w:tcPr>
          <w:p w14:paraId="094CA6E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未做到一次扣2分，二次扣5分</w:t>
            </w:r>
          </w:p>
        </w:tc>
        <w:tc>
          <w:tcPr>
            <w:tcW w:w="635" w:type="pct"/>
            <w:tcBorders>
              <w:top w:val="nil"/>
              <w:left w:val="nil"/>
              <w:bottom w:val="single" w:color="000000" w:sz="4" w:space="0"/>
              <w:right w:val="single" w:color="000000" w:sz="4" w:space="0"/>
            </w:tcBorders>
            <w:noWrap w:val="0"/>
            <w:vAlign w:val="center"/>
          </w:tcPr>
          <w:p w14:paraId="02FCB91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59D6D92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0327BD1">
        <w:tblPrEx>
          <w:tblCellMar>
            <w:top w:w="0" w:type="dxa"/>
            <w:left w:w="108" w:type="dxa"/>
            <w:bottom w:w="0" w:type="dxa"/>
            <w:right w:w="108" w:type="dxa"/>
          </w:tblCellMar>
        </w:tblPrEx>
        <w:trPr>
          <w:cantSplit/>
          <w:trHeight w:val="1560" w:hRule="atLeast"/>
        </w:trPr>
        <w:tc>
          <w:tcPr>
            <w:tcW w:w="391" w:type="pct"/>
            <w:vMerge w:val="continue"/>
            <w:tcBorders>
              <w:top w:val="nil"/>
              <w:left w:val="single" w:color="000000" w:sz="8" w:space="0"/>
              <w:bottom w:val="nil"/>
              <w:right w:val="single" w:color="000000" w:sz="4" w:space="0"/>
            </w:tcBorders>
            <w:noWrap w:val="0"/>
            <w:vAlign w:val="center"/>
          </w:tcPr>
          <w:p w14:paraId="38396E2D">
            <w:pPr>
              <w:widowControl/>
              <w:spacing w:line="360" w:lineRule="auto"/>
              <w:rPr>
                <w:rFonts w:ascii="宋体" w:hAnsi="宋体" w:cs="宋体"/>
                <w:color w:val="000000" w:themeColor="text1"/>
                <w:sz w:val="24"/>
                <w:highlight w:val="none"/>
                <w14:textFill>
                  <w14:solidFill>
                    <w14:schemeClr w14:val="tx1"/>
                  </w14:solidFill>
                </w14:textFill>
              </w:rPr>
            </w:pPr>
          </w:p>
        </w:tc>
        <w:tc>
          <w:tcPr>
            <w:tcW w:w="2173" w:type="pct"/>
            <w:tcBorders>
              <w:top w:val="nil"/>
              <w:left w:val="nil"/>
              <w:bottom w:val="single" w:color="000000" w:sz="4" w:space="0"/>
              <w:right w:val="single" w:color="000000" w:sz="4" w:space="0"/>
            </w:tcBorders>
            <w:noWrap w:val="0"/>
            <w:vAlign w:val="center"/>
          </w:tcPr>
          <w:p w14:paraId="6C8DD36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必须按照工程项目特点</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组织制定本工程实施中的生产安全事故应急救援预案；一旦发生安全事故</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应按照相关规定</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及时上报有关部门</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并坚持</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三不放过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的原则</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严肃处理相关责任人</w:t>
            </w:r>
          </w:p>
        </w:tc>
        <w:tc>
          <w:tcPr>
            <w:tcW w:w="595" w:type="pct"/>
            <w:tcBorders>
              <w:top w:val="nil"/>
              <w:left w:val="nil"/>
              <w:bottom w:val="single" w:color="000000" w:sz="4" w:space="0"/>
              <w:right w:val="single" w:color="000000" w:sz="4" w:space="0"/>
            </w:tcBorders>
            <w:noWrap w:val="0"/>
            <w:vAlign w:val="center"/>
          </w:tcPr>
          <w:p w14:paraId="13BD606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w:t>
            </w:r>
          </w:p>
        </w:tc>
        <w:tc>
          <w:tcPr>
            <w:tcW w:w="707" w:type="pct"/>
            <w:tcBorders>
              <w:top w:val="nil"/>
              <w:left w:val="nil"/>
              <w:bottom w:val="single" w:color="000000" w:sz="4" w:space="0"/>
              <w:right w:val="single" w:color="000000" w:sz="4" w:space="0"/>
            </w:tcBorders>
            <w:noWrap w:val="0"/>
            <w:vAlign w:val="center"/>
          </w:tcPr>
          <w:p w14:paraId="7051E5B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未制定应急预案扣5分，发生安全事故扣20分</w:t>
            </w:r>
          </w:p>
        </w:tc>
        <w:tc>
          <w:tcPr>
            <w:tcW w:w="635" w:type="pct"/>
            <w:tcBorders>
              <w:top w:val="nil"/>
              <w:left w:val="nil"/>
              <w:bottom w:val="single" w:color="000000" w:sz="4" w:space="0"/>
              <w:right w:val="single" w:color="000000" w:sz="4" w:space="0"/>
            </w:tcBorders>
            <w:noWrap w:val="0"/>
            <w:vAlign w:val="center"/>
          </w:tcPr>
          <w:p w14:paraId="520E1D4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6" w:type="pct"/>
            <w:tcBorders>
              <w:top w:val="nil"/>
              <w:left w:val="nil"/>
              <w:bottom w:val="single" w:color="000000" w:sz="4" w:space="0"/>
              <w:right w:val="single" w:color="000000" w:sz="8" w:space="0"/>
            </w:tcBorders>
            <w:noWrap w:val="0"/>
            <w:vAlign w:val="center"/>
          </w:tcPr>
          <w:p w14:paraId="103732A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183F8E65">
        <w:tblPrEx>
          <w:tblCellMar>
            <w:top w:w="0" w:type="dxa"/>
            <w:left w:w="108" w:type="dxa"/>
            <w:bottom w:w="0" w:type="dxa"/>
            <w:right w:w="108" w:type="dxa"/>
          </w:tblCellMar>
        </w:tblPrEx>
        <w:trPr>
          <w:trHeight w:val="465" w:hRule="atLeast"/>
        </w:trPr>
        <w:tc>
          <w:tcPr>
            <w:tcW w:w="391" w:type="pct"/>
            <w:tcBorders>
              <w:top w:val="single" w:color="000000" w:sz="4" w:space="0"/>
              <w:left w:val="single" w:color="000000" w:sz="8" w:space="0"/>
              <w:bottom w:val="single" w:color="000000" w:sz="4" w:space="0"/>
              <w:right w:val="single" w:color="000000" w:sz="4" w:space="0"/>
            </w:tcBorders>
            <w:noWrap w:val="0"/>
            <w:vAlign w:val="center"/>
          </w:tcPr>
          <w:p w14:paraId="1484231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合计</w:t>
            </w:r>
          </w:p>
        </w:tc>
        <w:tc>
          <w:tcPr>
            <w:tcW w:w="2173" w:type="pct"/>
            <w:tcBorders>
              <w:top w:val="nil"/>
              <w:left w:val="nil"/>
              <w:bottom w:val="single" w:color="000000" w:sz="4" w:space="0"/>
              <w:right w:val="single" w:color="000000" w:sz="4" w:space="0"/>
            </w:tcBorders>
            <w:noWrap w:val="0"/>
            <w:vAlign w:val="center"/>
          </w:tcPr>
          <w:p w14:paraId="3ABA7C0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595" w:type="pct"/>
            <w:tcBorders>
              <w:top w:val="nil"/>
              <w:left w:val="nil"/>
              <w:bottom w:val="single" w:color="000000" w:sz="4" w:space="0"/>
              <w:right w:val="single" w:color="000000" w:sz="4" w:space="0"/>
            </w:tcBorders>
            <w:noWrap w:val="0"/>
            <w:vAlign w:val="center"/>
          </w:tcPr>
          <w:p w14:paraId="58D1D6E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100</w:t>
            </w:r>
          </w:p>
        </w:tc>
        <w:tc>
          <w:tcPr>
            <w:tcW w:w="707" w:type="pct"/>
            <w:tcBorders>
              <w:top w:val="nil"/>
              <w:left w:val="nil"/>
              <w:bottom w:val="single" w:color="000000" w:sz="4" w:space="0"/>
              <w:right w:val="single" w:color="000000" w:sz="4" w:space="0"/>
            </w:tcBorders>
            <w:noWrap w:val="0"/>
            <w:vAlign w:val="center"/>
          </w:tcPr>
          <w:p w14:paraId="184197D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132" w:type="pct"/>
            <w:gridSpan w:val="2"/>
            <w:tcBorders>
              <w:top w:val="single" w:color="000000" w:sz="4" w:space="0"/>
              <w:left w:val="nil"/>
              <w:bottom w:val="single" w:color="000000" w:sz="4" w:space="0"/>
              <w:right w:val="single" w:color="000000" w:sz="8" w:space="0"/>
            </w:tcBorders>
            <w:noWrap w:val="0"/>
            <w:vAlign w:val="center"/>
          </w:tcPr>
          <w:p w14:paraId="1082239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B4CB2FC">
        <w:tblPrEx>
          <w:tblCellMar>
            <w:top w:w="0" w:type="dxa"/>
            <w:left w:w="108" w:type="dxa"/>
            <w:bottom w:w="0" w:type="dxa"/>
            <w:right w:w="108" w:type="dxa"/>
          </w:tblCellMar>
        </w:tblPrEx>
        <w:trPr>
          <w:trHeight w:val="900" w:hRule="atLeast"/>
        </w:trPr>
        <w:tc>
          <w:tcPr>
            <w:tcW w:w="391" w:type="pct"/>
            <w:tcBorders>
              <w:top w:val="single" w:color="000000" w:sz="4" w:space="0"/>
              <w:left w:val="single" w:color="000000" w:sz="4" w:space="0"/>
              <w:bottom w:val="single" w:color="000000" w:sz="4" w:space="0"/>
              <w:right w:val="single" w:color="000000" w:sz="4" w:space="0"/>
            </w:tcBorders>
            <w:noWrap w:val="0"/>
            <w:vAlign w:val="center"/>
          </w:tcPr>
          <w:p w14:paraId="33602DC0">
            <w:pPr>
              <w:widowControl/>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c>
          <w:tcPr>
            <w:tcW w:w="4608" w:type="pct"/>
            <w:gridSpan w:val="5"/>
            <w:tcBorders>
              <w:top w:val="single" w:color="000000" w:sz="4" w:space="0"/>
              <w:left w:val="single" w:color="000000" w:sz="4" w:space="0"/>
              <w:bottom w:val="single" w:color="000000" w:sz="4" w:space="0"/>
              <w:right w:val="single" w:color="000000" w:sz="4" w:space="0"/>
            </w:tcBorders>
            <w:noWrap w:val="0"/>
            <w:vAlign w:val="center"/>
          </w:tcPr>
          <w:p w14:paraId="38DA7910">
            <w:pPr>
              <w:widowControl/>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项目</w:t>
            </w:r>
            <w:r>
              <w:rPr>
                <w:color w:val="000000" w:themeColor="text1"/>
                <w:sz w:val="24"/>
                <w:highlight w:val="none"/>
                <w14:textFill>
                  <w14:solidFill>
                    <w14:schemeClr w14:val="tx1"/>
                  </w14:solidFill>
                </w14:textFill>
              </w:rPr>
              <w:t>结算时</w:t>
            </w:r>
            <w:r>
              <w:rPr>
                <w:rFonts w:hint="eastAsia"/>
                <w:color w:val="000000" w:themeColor="text1"/>
                <w:sz w:val="24"/>
                <w:highlight w:val="none"/>
                <w14:textFill>
                  <w14:solidFill>
                    <w14:schemeClr w14:val="tx1"/>
                  </w14:solidFill>
                </w14:textFill>
              </w:rPr>
              <w:t>费用与考评得分挂钩，高于95分不扣工程费用；扣满5分后，每扣一分，扣款200元；扣满10分后，每扣一分，扣款500元</w:t>
            </w:r>
            <w:r>
              <w:rPr>
                <w:color w:val="000000" w:themeColor="text1"/>
                <w:sz w:val="24"/>
                <w:highlight w:val="none"/>
                <w14:textFill>
                  <w14:solidFill>
                    <w14:schemeClr w14:val="tx1"/>
                  </w14:solidFill>
                </w14:textFill>
              </w:rPr>
              <w:t>。在安全生产检查中，所施工项目每被上级部门通报一次，扣款3000元。</w:t>
            </w:r>
          </w:p>
        </w:tc>
      </w:tr>
    </w:tbl>
    <w:p w14:paraId="3D901409">
      <w:pPr>
        <w:spacing w:line="360"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质量奖惩：</w:t>
      </w:r>
    </w:p>
    <w:p w14:paraId="0C45EE0F">
      <w:pPr>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（1）本工程确保一次验收100％达到合格标准，如因承包方原因一次验收达不到合格工程标准，则承包方必须返修整改达到合格标准为止，才能交付发包方，其返修费用均</w:t>
      </w:r>
      <w:r>
        <w:rPr>
          <w:rFonts w:hint="eastAsia" w:ascii="宋体" w:hAnsi="宋体" w:cs="宋体"/>
          <w:color w:val="000000" w:themeColor="text1"/>
          <w:sz w:val="24"/>
          <w:highlight w:val="none"/>
          <w:lang w:eastAsia="zh-CN"/>
          <w14:textFill>
            <w14:solidFill>
              <w14:schemeClr w14:val="tx1"/>
            </w14:solidFill>
          </w14:textFill>
        </w:rPr>
        <w:t>由</w:t>
      </w:r>
      <w:r>
        <w:rPr>
          <w:rFonts w:hint="eastAsia" w:ascii="宋体" w:hAnsi="宋体" w:cs="宋体"/>
          <w:color w:val="000000" w:themeColor="text1"/>
          <w:sz w:val="24"/>
          <w:highlight w:val="none"/>
          <w14:textFill>
            <w14:solidFill>
              <w14:schemeClr w14:val="tx1"/>
            </w14:solidFill>
          </w14:textFill>
        </w:rPr>
        <w:t>承包方自行承担。返修工期计入总工期考核，并支付发包方质量违约金；竣工验收一次不合格由承包方按照合同价的5％支付违约金给发包方。</w:t>
      </w:r>
    </w:p>
    <w:p w14:paraId="601F3D58">
      <w:pPr>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（2）每季度期满后28天内提供全部结算资料，由发包方委托具备工程造价审核资质的中介机构进行结算审核，审计结果由甲乙双方确认后作为结算依据。承包方提供的结算核减额在5%以内（含5%）审计</w:t>
      </w:r>
      <w:r>
        <w:rPr>
          <w:rFonts w:hint="eastAsia" w:ascii="宋体" w:hAnsi="宋体" w:cs="宋体"/>
          <w:color w:val="000000" w:themeColor="text1"/>
          <w:sz w:val="24"/>
          <w:highlight w:val="none"/>
          <w:lang w:eastAsia="zh-CN"/>
          <w14:textFill>
            <w14:solidFill>
              <w14:schemeClr w14:val="tx1"/>
            </w14:solidFill>
          </w14:textFill>
        </w:rPr>
        <w:t>费用</w:t>
      </w:r>
      <w:r>
        <w:rPr>
          <w:rFonts w:hint="eastAsia" w:ascii="宋体" w:hAnsi="宋体" w:cs="宋体"/>
          <w:color w:val="000000" w:themeColor="text1"/>
          <w:sz w:val="24"/>
          <w:highlight w:val="none"/>
          <w14:textFill>
            <w14:solidFill>
              <w14:schemeClr w14:val="tx1"/>
            </w14:solidFill>
          </w14:textFill>
        </w:rPr>
        <w:t>由甲方承担，核减额超过5%时所有审计费用由承包方承担。</w:t>
      </w:r>
    </w:p>
    <w:p w14:paraId="22BCD732">
      <w:pPr>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涉及</w:t>
      </w:r>
      <w:r>
        <w:rPr>
          <w:rFonts w:hint="eastAsia" w:ascii="宋体" w:hAnsi="宋体" w:cs="宋体"/>
          <w:color w:val="000000" w:themeColor="text1"/>
          <w:sz w:val="24"/>
          <w:highlight w:val="none"/>
          <w14:textFill>
            <w14:solidFill>
              <w14:schemeClr w14:val="tx1"/>
            </w14:solidFill>
          </w14:textFill>
        </w:rPr>
        <w:t>工程价款的签证，应以发包方签署作为结算依据 。所有签证承包方必须在事件发生后3天内报出签证申请，逾期作为让利。</w:t>
      </w:r>
    </w:p>
    <w:p w14:paraId="6009AE93">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（4）施工期间，承包方要做到文明施工，并符合市创建卫生城市的要求，材料堆放整齐，做好工地文明创建工作，在施工过程中如受到有关部门的通报批评，则每次按该工程总建筑面积10元／M</w:t>
      </w:r>
      <w:r>
        <w:rPr>
          <w:rFonts w:hint="eastAsia" w:ascii="宋体" w:hAnsi="宋体" w:cs="宋体"/>
          <w:color w:val="000000" w:themeColor="text1"/>
          <w:sz w:val="24"/>
          <w:highlight w:val="none"/>
          <w:vertAlign w:val="superscript"/>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扣款。工程车辆上路行驶时抛、洒、滴、漏，涉及环卫方面的问题，由中标供应商负责解决及承担可能出现的费用。</w:t>
      </w:r>
    </w:p>
    <w:p w14:paraId="1F38E756">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严格施工安全，承包方必须配备专职、资质相符的现场安全员，应对施工人员进行安全教育，不发生人身伤亡事故和火灾事故，并应参加建筑、安装工程保险，施工中发生的质量、安全事故及责任和经济损失均</w:t>
      </w:r>
      <w:r>
        <w:rPr>
          <w:rFonts w:hint="eastAsia" w:ascii="宋体" w:hAnsi="宋体" w:cs="宋体"/>
          <w:color w:val="000000" w:themeColor="text1"/>
          <w:sz w:val="24"/>
          <w:highlight w:val="none"/>
          <w:lang w:eastAsia="zh-CN"/>
          <w14:textFill>
            <w14:solidFill>
              <w14:schemeClr w14:val="tx1"/>
            </w14:solidFill>
          </w14:textFill>
        </w:rPr>
        <w:t>由</w:t>
      </w:r>
      <w:r>
        <w:rPr>
          <w:rFonts w:hint="eastAsia" w:ascii="宋体" w:hAnsi="宋体" w:cs="宋体"/>
          <w:color w:val="000000" w:themeColor="text1"/>
          <w:sz w:val="24"/>
          <w:highlight w:val="none"/>
          <w14:textFill>
            <w14:solidFill>
              <w14:schemeClr w14:val="tx1"/>
            </w14:solidFill>
          </w14:textFill>
        </w:rPr>
        <w:t>承包方负责。</w:t>
      </w:r>
    </w:p>
    <w:p w14:paraId="13C5D529">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（6）一旦中标项目负责人、现场安全员不得更换，并必须全过程管理直至工程竣工，否则作违约处理，施工单位清理出场，承担一切直接、间接的经济损失。</w:t>
      </w:r>
    </w:p>
    <w:p w14:paraId="3AD4C037">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（7）工期：具体开工时间以甲方通知为准。延误工期承包方应按照1000元/天支付违约金给发包方，误期赔偿费不设上限。</w:t>
      </w:r>
    </w:p>
    <w:p w14:paraId="315BB13F">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（8）除通用条款约定的不可抗力外，</w:t>
      </w:r>
      <w:r>
        <w:rPr>
          <w:rFonts w:hint="eastAsia" w:ascii="宋体" w:hAnsi="宋体" w:cs="宋体"/>
          <w:color w:val="000000" w:themeColor="text1"/>
          <w:sz w:val="24"/>
          <w:highlight w:val="none"/>
          <w:lang w:eastAsia="zh-CN"/>
          <w14:textFill>
            <w14:solidFill>
              <w14:schemeClr w14:val="tx1"/>
            </w14:solidFill>
          </w14:textFill>
        </w:rPr>
        <w:t>另</w:t>
      </w:r>
      <w:r>
        <w:rPr>
          <w:rFonts w:hint="eastAsia" w:ascii="宋体" w:hAnsi="宋体" w:cs="宋体"/>
          <w:color w:val="000000" w:themeColor="text1"/>
          <w:sz w:val="24"/>
          <w:highlight w:val="none"/>
          <w14:textFill>
            <w14:solidFill>
              <w14:schemeClr w14:val="tx1"/>
            </w14:solidFill>
          </w14:textFill>
        </w:rPr>
        <w:t>约定的不可抗力由发包方、承包方视事件情况共同论定。</w:t>
      </w:r>
    </w:p>
    <w:p w14:paraId="56E13418">
      <w:pPr>
        <w:tabs>
          <w:tab w:val="left" w:pos="8280"/>
        </w:tabs>
        <w:spacing w:line="360" w:lineRule="auto"/>
        <w:ind w:firstLine="238"/>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（9）中标供应商宗旨：保证与采购人密切配合，服从统一指挥、统一安排，高标准、严要求、安全优质、快速地完成该合同工程的施工建设，确保采购人满意。</w:t>
      </w:r>
    </w:p>
    <w:p w14:paraId="200F447E">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中标供应商采购的建筑材料，必须符合现行国家质量标准的要求。材料进场时必须附有出厂合格证，并会同采购人代表进行复核查验后使用，必要时可共同抽样送质检部门认可有效的检测单位复验，检验费用由中标供应商承担。遵循谁采购谁负责的原则，不合格的材料、设备由材料来源的采购方组织处理、清出现场。</w:t>
      </w:r>
    </w:p>
    <w:p w14:paraId="75C3F0A6">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（11）对施工过程中的主要质量控制的主要要求：施工方法、施工顺序中标供应商必须严格按采购人工地代表批准的施工组织设计（施工方案）组织施工，并由采购人工地代表监督实施。</w:t>
      </w:r>
    </w:p>
    <w:p w14:paraId="1C895D04">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（12）工程竣工后二个月内中标供应商逾期提交工程竣工结算时，采购人可相应延期支付中标供应商的工程款。</w:t>
      </w:r>
    </w:p>
    <w:p w14:paraId="676D7C3D">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（13）投标报价中没有的材料，以实际发生的价格，发包方确认后，作为结算的依据。</w:t>
      </w:r>
    </w:p>
    <w:p w14:paraId="63079ADC">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（14）有暂估价的材料按暂估价报价，中标后由发包方、承包方双方共同看样</w:t>
      </w:r>
      <w:r>
        <w:rPr>
          <w:rFonts w:hint="eastAsia" w:ascii="宋体" w:hAnsi="宋体" w:cs="宋体"/>
          <w:color w:val="000000" w:themeColor="text1"/>
          <w:sz w:val="24"/>
          <w:highlight w:val="none"/>
          <w:lang w:eastAsia="zh-CN"/>
          <w14:textFill>
            <w14:solidFill>
              <w14:schemeClr w14:val="tx1"/>
            </w14:solidFill>
          </w14:textFill>
        </w:rPr>
        <w:t>订货，</w:t>
      </w:r>
      <w:r>
        <w:rPr>
          <w:rFonts w:hint="eastAsia" w:ascii="宋体" w:hAnsi="宋体" w:cs="宋体"/>
          <w:color w:val="000000" w:themeColor="text1"/>
          <w:sz w:val="24"/>
          <w:highlight w:val="none"/>
          <w14:textFill>
            <w14:solidFill>
              <w14:schemeClr w14:val="tx1"/>
            </w14:solidFill>
          </w14:textFill>
        </w:rPr>
        <w:t>发包方以确认单的形式明确材料的结算价格。</w:t>
      </w:r>
    </w:p>
    <w:p w14:paraId="78FC2EB5">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（15）中标供应商不得将中标项目转包、分包。</w:t>
      </w:r>
    </w:p>
    <w:p w14:paraId="5FC4EE97">
      <w:pPr>
        <w:tabs>
          <w:tab w:val="left" w:pos="8280"/>
        </w:tabs>
        <w:spacing w:line="360" w:lineRule="auto"/>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（16）中标后配置的项目负责人需与投标时一致，若需更换必须经采购人同意，否则采购人有权追究其责任。</w:t>
      </w:r>
    </w:p>
    <w:p w14:paraId="5EFE8BC9">
      <w:pPr>
        <w:pStyle w:val="51"/>
        <w:rPr>
          <w:rFonts w:eastAsia="宋体"/>
          <w:color w:val="000000" w:themeColor="text1"/>
          <w:highlight w:val="none"/>
          <w14:textFill>
            <w14:solidFill>
              <w14:schemeClr w14:val="tx1"/>
            </w14:solidFill>
          </w14:textFill>
        </w:rPr>
      </w:pPr>
    </w:p>
    <w:p w14:paraId="40D99A3B">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br w:type="page" w:clear="all"/>
      </w:r>
    </w:p>
    <w:p w14:paraId="69E76E5C">
      <w:pPr>
        <w:jc w:val="center"/>
        <w:rPr>
          <w:rFonts w:hint="eastAsia" w:ascii="宋体" w:hAnsi="宋体" w:cs="宋体"/>
          <w:b/>
          <w:bCs/>
          <w:color w:val="000000" w:themeColor="text1"/>
          <w:sz w:val="44"/>
          <w:szCs w:val="44"/>
          <w:highlight w:val="none"/>
          <w14:textFill>
            <w14:solidFill>
              <w14:schemeClr w14:val="tx1"/>
            </w14:solidFill>
          </w14:textFill>
        </w:rPr>
      </w:pPr>
      <w:bookmarkStart w:id="164" w:name="_Toc378595045"/>
      <w:r>
        <w:rPr>
          <w:rFonts w:hint="eastAsia" w:ascii="宋体" w:hAnsi="宋体" w:cs="宋体"/>
          <w:b/>
          <w:bCs/>
          <w:color w:val="000000" w:themeColor="text1"/>
          <w:sz w:val="44"/>
          <w:szCs w:val="44"/>
          <w:highlight w:val="none"/>
          <w:lang w:eastAsia="zh-CN"/>
          <w14:textFill>
            <w14:solidFill>
              <w14:schemeClr w14:val="tx1"/>
            </w14:solidFill>
          </w14:textFill>
        </w:rPr>
        <w:t>四、</w:t>
      </w:r>
      <w:r>
        <w:rPr>
          <w:rFonts w:hint="eastAsia" w:ascii="宋体" w:hAnsi="宋体" w:cs="宋体"/>
          <w:b/>
          <w:bCs/>
          <w:color w:val="000000" w:themeColor="text1"/>
          <w:sz w:val="44"/>
          <w:szCs w:val="44"/>
          <w:highlight w:val="none"/>
          <w14:textFill>
            <w14:solidFill>
              <w14:schemeClr w14:val="tx1"/>
            </w14:solidFill>
          </w14:textFill>
        </w:rPr>
        <w:t>合同书</w:t>
      </w:r>
    </w:p>
    <w:p w14:paraId="0AF267A9">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格式</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磋商时不需填写）</w:t>
      </w:r>
    </w:p>
    <w:p w14:paraId="2BE8DB34">
      <w:pPr>
        <w:spacing w:line="360" w:lineRule="auto"/>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第一部分 合同协议书</w:t>
      </w:r>
    </w:p>
    <w:p w14:paraId="26E2E995">
      <w:pPr>
        <w:spacing w:line="360" w:lineRule="auto"/>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发包人（全称）：</w:t>
      </w:r>
      <w:r>
        <w:rPr>
          <w:rFonts w:hint="eastAsia" w:ascii="宋体" w:hAnsi="宋体" w:cs="宋体"/>
          <w:b/>
          <w:color w:val="000000" w:themeColor="text1"/>
          <w:sz w:val="24"/>
          <w:highlight w:val="none"/>
          <w:u w:val="single"/>
          <w14:textFill>
            <w14:solidFill>
              <w14:schemeClr w14:val="tx1"/>
            </w14:solidFill>
          </w14:textFill>
        </w:rPr>
        <w:t xml:space="preserve"> 无锡市第二人民医院                </w:t>
      </w:r>
    </w:p>
    <w:p w14:paraId="5BAC17F2">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承包人（全称）：</w:t>
      </w:r>
      <w:r>
        <w:rPr>
          <w:rFonts w:hint="eastAsia" w:ascii="宋体" w:hAnsi="宋体" w:cs="宋体"/>
          <w:b/>
          <w:color w:val="000000" w:themeColor="text1"/>
          <w:sz w:val="24"/>
          <w:highlight w:val="none"/>
          <w:u w:val="single"/>
          <w14:textFill>
            <w14:solidFill>
              <w14:schemeClr w14:val="tx1"/>
            </w14:solidFill>
          </w14:textFill>
        </w:rPr>
        <w:t xml:space="preserve">                                </w:t>
      </w:r>
    </w:p>
    <w:p w14:paraId="2E4D8A9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根据《中华人民共和国民法典</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中华人民共和国建筑法》及有关法律规定，遵循平等、自愿、公平和诚实信用的原则，双方就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工程施工及有关事项协商一致，共同达成如下协议：</w:t>
      </w:r>
    </w:p>
    <w:p w14:paraId="4BF2DF74">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一、项目概况</w:t>
      </w:r>
    </w:p>
    <w:p w14:paraId="10DD87AC">
      <w:pPr>
        <w:spacing w:line="360" w:lineRule="auto"/>
        <w:ind w:firstLine="47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1.项目名称</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0D2A866E">
      <w:pPr>
        <w:spacing w:line="360" w:lineRule="auto"/>
        <w:ind w:firstLine="47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2.项目地点：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74DAD916">
      <w:pPr>
        <w:spacing w:line="360" w:lineRule="auto"/>
        <w:ind w:firstLine="47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项目内容：主要是对医院现有建筑及其附属设施的应需性、应急性修缮改造。如门、窗、各类家具、内墙、外墙、天棚吊顶、屋面防水、室内外地面、车棚、围墙等院内各类零星修缮及布局调整零星改造。仅限单项总价预算金额低于</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万元的项目。</w:t>
      </w:r>
    </w:p>
    <w:p w14:paraId="7E44F7B4">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二、合同工期</w:t>
      </w:r>
    </w:p>
    <w:p w14:paraId="16364244">
      <w:pPr>
        <w:spacing w:line="360" w:lineRule="auto"/>
        <w:ind w:firstLine="45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本合同有效期为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3F47BE07">
      <w:pPr>
        <w:spacing w:line="360" w:lineRule="auto"/>
        <w:ind w:firstLine="459"/>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注：</w:t>
      </w:r>
      <w:r>
        <w:rPr>
          <w:rFonts w:hint="eastAsia"/>
          <w:color w:val="000000" w:themeColor="text1"/>
          <w:highlight w:val="none"/>
          <w14:textFill>
            <w14:solidFill>
              <w14:schemeClr w14:val="tx1"/>
            </w14:solidFill>
          </w14:textFill>
        </w:rPr>
        <w:t>服务期</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年期满或累计服务费达到预算金额</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万元/年</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 xml:space="preserve">，其中任意一项达到即为本项目完成。 </w:t>
      </w:r>
    </w:p>
    <w:p w14:paraId="69244E9E">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三、质量标准</w:t>
      </w:r>
    </w:p>
    <w:p w14:paraId="64DBBC90">
      <w:pPr>
        <w:spacing w:line="360" w:lineRule="auto"/>
        <w:ind w:firstLine="45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工程质量符合现行的国家标准、行业标准、工程所在地的地方性标准，以及相应的规范、规程等，能够满足发包人需求</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一次性验收合格。</w:t>
      </w:r>
    </w:p>
    <w:p w14:paraId="1D825760">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四、签约合同价与合同价格形式</w:t>
      </w:r>
      <w:r>
        <w:rPr>
          <w:rFonts w:hint="eastAsia" w:ascii="宋体" w:hAnsi="宋体" w:eastAsia="宋体" w:cs="宋体"/>
          <w:b w:val="0"/>
          <w:color w:val="000000" w:themeColor="text1"/>
          <w:sz w:val="24"/>
          <w:highlight w:val="none"/>
          <w14:textFill>
            <w14:solidFill>
              <w14:schemeClr w14:val="tx1"/>
            </w14:solidFill>
          </w14:textFill>
        </w:rPr>
        <w:tab/>
      </w:r>
    </w:p>
    <w:p w14:paraId="54C0F8A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1.签约合同价为：以项目审定价乘</w:t>
      </w:r>
      <w:r>
        <w:rPr>
          <w:rFonts w:hint="eastAsia" w:ascii="宋体" w:hAnsi="宋体" w:cs="宋体"/>
          <w:color w:val="000000" w:themeColor="text1"/>
          <w:sz w:val="24"/>
          <w:highlight w:val="none"/>
          <w:u w:val="none"/>
          <w14:textFill>
            <w14:solidFill>
              <w14:schemeClr w14:val="tx1"/>
            </w14:solidFill>
          </w14:textFill>
        </w:rPr>
        <w:t>以</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1－优惠率</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结算。</w:t>
      </w:r>
    </w:p>
    <w:p w14:paraId="70D187A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2.合同价格形式：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单价合同（按实结算）</w:t>
      </w:r>
      <w:r>
        <w:rPr>
          <w:rFonts w:hint="eastAsia" w:ascii="宋体" w:hAnsi="宋体" w:cs="宋体"/>
          <w:color w:val="000000" w:themeColor="text1"/>
          <w:sz w:val="24"/>
          <w:highlight w:val="none"/>
          <w14:textFill>
            <w14:solidFill>
              <w14:schemeClr w14:val="tx1"/>
            </w14:solidFill>
          </w14:textFill>
        </w:rPr>
        <w:t>。</w:t>
      </w:r>
    </w:p>
    <w:p w14:paraId="7D82987C">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五、项目负责人</w:t>
      </w:r>
    </w:p>
    <w:p w14:paraId="213E66F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承包人项目负责人：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4B085480">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六、合同文件构成</w:t>
      </w:r>
    </w:p>
    <w:p w14:paraId="15E1600F">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本协议书与下列文件一起构成合同文件：</w:t>
      </w:r>
    </w:p>
    <w:p w14:paraId="28346643">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（1）成交通知书；</w:t>
      </w:r>
    </w:p>
    <w:p w14:paraId="599A8C7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（2）响应文件及其附录； </w:t>
      </w:r>
    </w:p>
    <w:p w14:paraId="65E33FF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（3）合同书及其附件；</w:t>
      </w:r>
    </w:p>
    <w:p w14:paraId="7C942EDE">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（4）合同条款；</w:t>
      </w:r>
    </w:p>
    <w:p w14:paraId="4E8ECE3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（5）技术标准和要求；</w:t>
      </w:r>
    </w:p>
    <w:p w14:paraId="48372FFC">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（6）其他合同文件。</w:t>
      </w:r>
    </w:p>
    <w:p w14:paraId="7EEA1E1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在合同订立及履行过程中形成的与合同有关的文件均构成合同文件组成部分。</w:t>
      </w:r>
    </w:p>
    <w:p w14:paraId="2068644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上述各项合同文件包括合同当事人就该项合同文件所作出的补充和修改，属于同</w:t>
      </w:r>
      <w:r>
        <w:rPr>
          <w:rFonts w:hint="eastAsia" w:ascii="宋体" w:hAnsi="宋体" w:cs="宋体"/>
          <w:color w:val="000000" w:themeColor="text1"/>
          <w:sz w:val="24"/>
          <w:highlight w:val="none"/>
          <w:lang w:eastAsia="zh-CN"/>
          <w14:textFill>
            <w14:solidFill>
              <w14:schemeClr w14:val="tx1"/>
            </w14:solidFill>
          </w14:textFill>
        </w:rPr>
        <w:t>一项</w:t>
      </w:r>
      <w:r>
        <w:rPr>
          <w:rFonts w:hint="eastAsia" w:ascii="宋体" w:hAnsi="宋体" w:cs="宋体"/>
          <w:color w:val="000000" w:themeColor="text1"/>
          <w:sz w:val="24"/>
          <w:highlight w:val="none"/>
          <w14:textFill>
            <w14:solidFill>
              <w14:schemeClr w14:val="tx1"/>
            </w14:solidFill>
          </w14:textFill>
        </w:rPr>
        <w:t>内容的文件，应以最新签署的为准。专用合同条款及其附件须经合同当事人签字或盖章。</w:t>
      </w:r>
    </w:p>
    <w:p w14:paraId="629ADC5A">
      <w:pPr>
        <w:pStyle w:val="221"/>
        <w:spacing w:before="0" w:after="0" w:line="360" w:lineRule="auto"/>
        <w:jc w:val="lef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 七、承诺</w:t>
      </w:r>
    </w:p>
    <w:p w14:paraId="15419CD4">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1.发包人承诺按照法律规定履行项目审批手续、筹集工程建设资金并按照合同约定的期限和方式支付合同价款。</w:t>
      </w:r>
    </w:p>
    <w:p w14:paraId="322937AA">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34CA511B">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1A14B6EE">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Cs w:val="0"/>
          <w:color w:val="000000" w:themeColor="text1"/>
          <w:sz w:val="24"/>
          <w:highlight w:val="none"/>
          <w:lang w:eastAsia="zh-CN"/>
          <w14:textFill>
            <w14:solidFill>
              <w14:schemeClr w14:val="tx1"/>
            </w14:solidFill>
          </w14:textFill>
        </w:rPr>
        <w:t>八</w:t>
      </w:r>
      <w:r>
        <w:rPr>
          <w:rFonts w:hint="eastAsia" w:ascii="宋体" w:hAnsi="宋体" w:eastAsia="宋体" w:cs="宋体"/>
          <w:b w:val="0"/>
          <w:color w:val="000000" w:themeColor="text1"/>
          <w:sz w:val="24"/>
          <w:highlight w:val="none"/>
          <w14:textFill>
            <w14:solidFill>
              <w14:schemeClr w14:val="tx1"/>
            </w14:solidFill>
          </w14:textFill>
        </w:rPr>
        <w:t>、签订地点</w:t>
      </w:r>
    </w:p>
    <w:p w14:paraId="79221C2C">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本合同在</w:t>
      </w:r>
      <w:r>
        <w:rPr>
          <w:rFonts w:hint="eastAsia" w:ascii="宋体" w:hAnsi="宋体" w:cs="宋体"/>
          <w:bCs/>
          <w:color w:val="000000" w:themeColor="text1"/>
          <w:sz w:val="24"/>
          <w:highlight w:val="none"/>
          <w:u w:val="single"/>
          <w14:textFill>
            <w14:solidFill>
              <w14:schemeClr w14:val="tx1"/>
            </w14:solidFill>
          </w14:textFill>
        </w:rPr>
        <w:t xml:space="preserve">  无锡市第二人民医院    </w:t>
      </w:r>
      <w:r>
        <w:rPr>
          <w:rFonts w:hint="eastAsia" w:ascii="宋体" w:hAnsi="宋体" w:cs="宋体"/>
          <w:bCs/>
          <w:color w:val="000000" w:themeColor="text1"/>
          <w:sz w:val="24"/>
          <w:highlight w:val="none"/>
          <w14:textFill>
            <w14:solidFill>
              <w14:schemeClr w14:val="tx1"/>
            </w14:solidFill>
          </w14:textFill>
        </w:rPr>
        <w:t>签订。</w:t>
      </w:r>
    </w:p>
    <w:p w14:paraId="0B6E5BCE">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Cs w:val="0"/>
          <w:color w:val="000000" w:themeColor="text1"/>
          <w:sz w:val="24"/>
          <w:highlight w:val="none"/>
          <w:lang w:eastAsia="zh-CN"/>
          <w14:textFill>
            <w14:solidFill>
              <w14:schemeClr w14:val="tx1"/>
            </w14:solidFill>
          </w14:textFill>
        </w:rPr>
        <w:t>九</w:t>
      </w:r>
      <w:r>
        <w:rPr>
          <w:rFonts w:hint="eastAsia" w:ascii="宋体" w:hAnsi="宋体" w:eastAsia="宋体" w:cs="宋体"/>
          <w:b w:val="0"/>
          <w:color w:val="000000" w:themeColor="text1"/>
          <w:sz w:val="24"/>
          <w:highlight w:val="none"/>
          <w14:textFill>
            <w14:solidFill>
              <w14:schemeClr w14:val="tx1"/>
            </w14:solidFill>
          </w14:textFill>
        </w:rPr>
        <w:t>、补充协议</w:t>
      </w:r>
    </w:p>
    <w:p w14:paraId="0ACDB931">
      <w:pPr>
        <w:spacing w:line="360" w:lineRule="auto"/>
        <w:ind w:firstLine="48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合同未尽事宜，合同当事人另行签订补充协议，补充协议是合同的组成部分。</w:t>
      </w:r>
    </w:p>
    <w:p w14:paraId="2452ACF1">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十、合同生效</w:t>
      </w:r>
    </w:p>
    <w:p w14:paraId="25E3AFC5">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本合同由甲乙双方签字、盖章后生效。</w:t>
      </w:r>
    </w:p>
    <w:p w14:paraId="227A59FD">
      <w:pPr>
        <w:pStyle w:val="221"/>
        <w:spacing w:before="0" w:after="0" w:line="360" w:lineRule="auto"/>
        <w:jc w:val="left"/>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十</w:t>
      </w:r>
      <w:r>
        <w:rPr>
          <w:rFonts w:hint="eastAsia" w:ascii="宋体" w:hAnsi="宋体" w:eastAsia="宋体" w:cs="宋体"/>
          <w:b w:val="0"/>
          <w:color w:val="000000" w:themeColor="text1"/>
          <w:sz w:val="24"/>
          <w:highlight w:val="none"/>
          <w:lang w:eastAsia="zh-CN"/>
          <w14:textFill>
            <w14:solidFill>
              <w14:schemeClr w14:val="tx1"/>
            </w14:solidFill>
          </w14:textFill>
        </w:rPr>
        <w:t>一</w:t>
      </w:r>
      <w:r>
        <w:rPr>
          <w:rFonts w:hint="eastAsia" w:ascii="宋体" w:hAnsi="宋体" w:eastAsia="宋体" w:cs="宋体"/>
          <w:b w:val="0"/>
          <w:color w:val="000000" w:themeColor="text1"/>
          <w:sz w:val="24"/>
          <w:highlight w:val="none"/>
          <w14:textFill>
            <w14:solidFill>
              <w14:schemeClr w14:val="tx1"/>
            </w14:solidFill>
          </w14:textFill>
        </w:rPr>
        <w:t>、合同份数</w:t>
      </w:r>
    </w:p>
    <w:p w14:paraId="70265AA7">
      <w:pPr>
        <w:spacing w:line="360" w:lineRule="auto"/>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本合同一式</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份，具有同等法律效力，发包人执</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份，承包人执</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份。</w:t>
      </w:r>
    </w:p>
    <w:p w14:paraId="03376B8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附件一：工程质量保修书</w:t>
      </w:r>
    </w:p>
    <w:p w14:paraId="2C64D284">
      <w:pPr>
        <w:pStyle w:val="5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附件二：施工安全协议</w:t>
      </w:r>
    </w:p>
    <w:p w14:paraId="37AA24E1">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附件三：</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文明施工考核表</w:t>
      </w:r>
      <w:r>
        <w:rPr>
          <w:rFonts w:hint="eastAsia" w:ascii="宋体" w:hAnsi="宋体" w:cs="宋体"/>
          <w:color w:val="000000" w:themeColor="text1"/>
          <w:sz w:val="24"/>
          <w:highlight w:val="none"/>
          <w:lang w:eastAsia="zh-CN"/>
          <w14:textFill>
            <w14:solidFill>
              <w14:schemeClr w14:val="tx1"/>
            </w14:solidFill>
          </w14:textFill>
        </w:rPr>
        <w:t>》</w:t>
      </w:r>
    </w:p>
    <w:p w14:paraId="52FDEE5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附件四：《安全施工考核表》</w:t>
      </w:r>
    </w:p>
    <w:p w14:paraId="5275E0B3">
      <w:pPr>
        <w:pStyle w:val="51"/>
        <w:rPr>
          <w:rFonts w:hint="eastAsia" w:ascii="宋体" w:hAnsi="宋体" w:eastAsia="宋体" w:cs="宋体"/>
          <w:color w:val="000000" w:themeColor="text1"/>
          <w:sz w:val="24"/>
          <w:szCs w:val="24"/>
          <w:highlight w:val="none"/>
          <w14:textFill>
            <w14:solidFill>
              <w14:schemeClr w14:val="tx1"/>
            </w14:solidFill>
          </w14:textFill>
        </w:rPr>
      </w:pPr>
    </w:p>
    <w:p w14:paraId="25A3613B">
      <w:pPr>
        <w:spacing w:line="360" w:lineRule="auto"/>
        <w:ind w:firstLine="360"/>
        <w:rPr>
          <w:rFonts w:hint="eastAsia" w:ascii="宋体" w:hAnsi="宋体" w:cs="宋体"/>
          <w:color w:val="000000" w:themeColor="text1"/>
          <w:sz w:val="24"/>
          <w:highlight w:val="none"/>
          <w14:textFill>
            <w14:solidFill>
              <w14:schemeClr w14:val="tx1"/>
            </w14:solidFill>
          </w14:textFill>
        </w:rPr>
      </w:pPr>
    </w:p>
    <w:p w14:paraId="3FDCC094">
      <w:pPr>
        <w:spacing w:line="360" w:lineRule="auto"/>
        <w:ind w:firstLine="360"/>
        <w:rPr>
          <w:rFonts w:hint="eastAsia" w:ascii="宋体" w:hAnsi="宋体" w:cs="宋体"/>
          <w:color w:val="000000" w:themeColor="text1"/>
          <w:sz w:val="24"/>
          <w:highlight w:val="none"/>
          <w14:textFill>
            <w14:solidFill>
              <w14:schemeClr w14:val="tx1"/>
            </w14:solidFill>
          </w14:textFill>
        </w:rPr>
      </w:pPr>
    </w:p>
    <w:p w14:paraId="16C8180B">
      <w:pPr>
        <w:spacing w:line="360" w:lineRule="auto"/>
        <w:ind w:firstLine="360"/>
        <w:rPr>
          <w:rFonts w:hint="eastAsia" w:ascii="宋体" w:hAnsi="宋体" w:cs="宋体"/>
          <w:color w:val="000000" w:themeColor="text1"/>
          <w:sz w:val="24"/>
          <w:highlight w:val="none"/>
          <w14:textFill>
            <w14:solidFill>
              <w14:schemeClr w14:val="tx1"/>
            </w14:solidFill>
          </w14:textFill>
        </w:rPr>
      </w:pPr>
    </w:p>
    <w:p w14:paraId="16931D3D">
      <w:pPr>
        <w:spacing w:line="360" w:lineRule="auto"/>
        <w:ind w:firstLine="360"/>
        <w:rPr>
          <w:rFonts w:hint="eastAsia" w:ascii="宋体" w:hAnsi="宋体" w:cs="宋体"/>
          <w:color w:val="000000" w:themeColor="text1"/>
          <w:sz w:val="24"/>
          <w:highlight w:val="none"/>
          <w14:textFill>
            <w14:solidFill>
              <w14:schemeClr w14:val="tx1"/>
            </w14:solidFill>
          </w14:textFill>
        </w:rPr>
      </w:pPr>
    </w:p>
    <w:p w14:paraId="3DF77D01">
      <w:pPr>
        <w:spacing w:line="360" w:lineRule="auto"/>
        <w:ind w:firstLine="360"/>
        <w:rPr>
          <w:rFonts w:hint="eastAsia" w:ascii="宋体" w:hAnsi="宋体" w:cs="宋体"/>
          <w:color w:val="000000" w:themeColor="text1"/>
          <w:sz w:val="24"/>
          <w:highlight w:val="none"/>
          <w14:textFill>
            <w14:solidFill>
              <w14:schemeClr w14:val="tx1"/>
            </w14:solidFill>
          </w14:textFill>
        </w:rPr>
      </w:pPr>
    </w:p>
    <w:p w14:paraId="08D63283">
      <w:pPr>
        <w:spacing w:line="360" w:lineRule="auto"/>
        <w:ind w:firstLine="3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发包人：  </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承包人：       </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p>
    <w:p w14:paraId="013094E7">
      <w:pPr>
        <w:spacing w:line="360" w:lineRule="auto"/>
        <w:ind w:firstLine="3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法定代表人或其委托代理人：        法定代表人或其委托代理人：</w:t>
      </w:r>
    </w:p>
    <w:p w14:paraId="6C54311D">
      <w:pPr>
        <w:spacing w:line="360" w:lineRule="auto"/>
        <w:ind w:firstLine="3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（签字）                         （签字）</w:t>
      </w:r>
      <w:r>
        <w:rPr>
          <w:rFonts w:hint="eastAsia" w:ascii="宋体" w:hAnsi="宋体" w:cs="宋体"/>
          <w:color w:val="000000" w:themeColor="text1"/>
          <w:sz w:val="24"/>
          <w:highlight w:val="none"/>
          <w:u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14:paraId="2A0C9D70">
      <w:pPr>
        <w:spacing w:line="360" w:lineRule="auto"/>
        <w:ind w:firstLine="4320"/>
        <w:rPr>
          <w:rFonts w:hint="eastAsia" w:ascii="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承包人户名：       </w:t>
      </w:r>
      <w:r>
        <w:rPr>
          <w:rFonts w:hint="eastAsia" w:ascii="宋体" w:hAnsi="宋体" w:cs="宋体"/>
          <w:color w:val="000000" w:themeColor="text1"/>
          <w:sz w:val="24"/>
          <w:highlight w:val="none"/>
          <w:u w:val="single"/>
          <w14:textFill>
            <w14:solidFill>
              <w14:schemeClr w14:val="tx1"/>
            </w14:solidFill>
          </w14:textFill>
        </w:rPr>
        <w:t xml:space="preserve">  </w:t>
      </w:r>
    </w:p>
    <w:p w14:paraId="247DFA56">
      <w:pPr>
        <w:spacing w:line="360" w:lineRule="auto"/>
        <w:ind w:left="4620" w:hanging="4620"/>
        <w:rPr>
          <w:rFonts w:hint="eastAsia" w:ascii="宋体"/>
          <w:color w:val="000000" w:themeColor="text1"/>
          <w:sz w:val="24"/>
          <w:highlight w:val="none"/>
          <w:u w:val="singl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承包人开户银行：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7FD65619">
      <w:pPr>
        <w:spacing w:line="360" w:lineRule="auto"/>
        <w:rPr>
          <w:rFonts w:ascii="宋体"/>
          <w:b/>
          <w:bCs/>
          <w:color w:val="000000" w:themeColor="text1"/>
          <w:sz w:val="32"/>
          <w:szCs w:val="32"/>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承包人</w:t>
      </w:r>
      <w:r>
        <w:rPr>
          <w:rFonts w:hint="eastAsia" w:ascii="宋体" w:hAnsi="宋体" w:cs="宋体"/>
          <w:color w:val="000000" w:themeColor="text1"/>
          <w:sz w:val="24"/>
          <w:highlight w:val="none"/>
          <w:lang w:val="en-US" w:eastAsia="zh-CN"/>
          <w14:textFill>
            <w14:solidFill>
              <w14:schemeClr w14:val="tx1"/>
            </w14:solidFill>
          </w14:textFill>
        </w:rPr>
        <w:t>账</w:t>
      </w:r>
      <w:r>
        <w:rPr>
          <w:rFonts w:hint="eastAsia" w:ascii="宋体" w:hAnsi="宋体" w:cs="宋体"/>
          <w:color w:val="000000" w:themeColor="text1"/>
          <w:sz w:val="24"/>
          <w:highlight w:val="none"/>
          <w14:textFill>
            <w14:solidFill>
              <w14:schemeClr w14:val="tx1"/>
            </w14:solidFill>
          </w14:textFill>
        </w:rPr>
        <w:t>号：</w:t>
      </w:r>
      <w:r>
        <w:rPr>
          <w:rFonts w:hint="eastAsia" w:ascii="宋体" w:hAnsi="宋体" w:cs="宋体"/>
          <w:color w:val="000000" w:themeColor="text1"/>
          <w:sz w:val="24"/>
          <w:highlight w:val="none"/>
          <w:u w:val="single"/>
          <w14:textFill>
            <w14:solidFill>
              <w14:schemeClr w14:val="tx1"/>
            </w14:solidFill>
          </w14:textFill>
        </w:rPr>
        <w:t xml:space="preserve">                </w:t>
      </w:r>
    </w:p>
    <w:p w14:paraId="0570F4F2">
      <w:pPr>
        <w:pStyle w:val="51"/>
        <w:rPr>
          <w:rFonts w:hint="eastAsia" w:ascii="Tahoma" w:hAnsi="Tahoma"/>
          <w:color w:val="000000" w:themeColor="text1"/>
          <w:sz w:val="24"/>
          <w:highlight w:val="none"/>
          <w14:textFill>
            <w14:solidFill>
              <w14:schemeClr w14:val="tx1"/>
            </w14:solidFill>
          </w14:textFill>
        </w:rPr>
      </w:pPr>
    </w:p>
    <w:p w14:paraId="18B0012E">
      <w:pPr>
        <w:pStyle w:val="220"/>
        <w:tabs>
          <w:tab w:val="left" w:pos="7200"/>
        </w:tabs>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p>
    <w:p w14:paraId="02FB2F64">
      <w:pPr>
        <w:pStyle w:val="220"/>
        <w:tabs>
          <w:tab w:val="left" w:pos="7200"/>
        </w:tabs>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p>
    <w:p w14:paraId="57B737DE">
      <w:pPr>
        <w:pStyle w:val="220"/>
        <w:tabs>
          <w:tab w:val="left" w:pos="7200"/>
        </w:tabs>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p>
    <w:p w14:paraId="103F5AA5">
      <w:pPr>
        <w:pStyle w:val="220"/>
        <w:tabs>
          <w:tab w:val="left" w:pos="7200"/>
        </w:tabs>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p>
    <w:p w14:paraId="60CDA890">
      <w:pPr>
        <w:pStyle w:val="220"/>
        <w:tabs>
          <w:tab w:val="left" w:pos="7200"/>
        </w:tabs>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p>
    <w:p w14:paraId="1224F0B8">
      <w:pPr>
        <w:pStyle w:val="220"/>
        <w:tabs>
          <w:tab w:val="left" w:pos="7200"/>
        </w:tabs>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p>
    <w:p w14:paraId="04F4E99F">
      <w:pPr>
        <w:rPr>
          <w:rFonts w:hint="eastAsia" w:ascii="宋体" w:hAnsi="宋体" w:cs="宋体"/>
          <w:color w:val="000000" w:themeColor="text1"/>
          <w:sz w:val="44"/>
          <w:szCs w:val="44"/>
          <w:highlight w:val="none"/>
          <w14:textFill>
            <w14:solidFill>
              <w14:schemeClr w14:val="tx1"/>
            </w14:solidFill>
          </w14:textFill>
        </w:rPr>
      </w:pPr>
    </w:p>
    <w:p w14:paraId="37ADA6FB">
      <w:pPr>
        <w:rPr>
          <w:rFonts w:hint="eastAsia" w:ascii="宋体" w:hAnsi="宋体" w:cs="宋体"/>
          <w:color w:val="000000" w:themeColor="text1"/>
          <w:sz w:val="44"/>
          <w:szCs w:val="44"/>
          <w:highlight w:val="none"/>
          <w14:textFill>
            <w14:solidFill>
              <w14:schemeClr w14:val="tx1"/>
            </w14:solidFill>
          </w14:textFill>
        </w:rPr>
      </w:pPr>
    </w:p>
    <w:p w14:paraId="0073C266">
      <w:pPr>
        <w:pStyle w:val="220"/>
        <w:numPr>
          <w:ilvl w:val="0"/>
          <w:numId w:val="2"/>
        </w:numPr>
        <w:tabs>
          <w:tab w:val="left" w:pos="7200"/>
        </w:tabs>
        <w:spacing w:line="360" w:lineRule="auto"/>
        <w:jc w:val="cente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lang w:eastAsia="zh-CN"/>
          <w14:textFill>
            <w14:solidFill>
              <w14:schemeClr w14:val="tx1"/>
            </w14:solidFill>
          </w14:textFill>
        </w:rPr>
        <w:t>通用</w:t>
      </w:r>
      <w:r>
        <w:rPr>
          <w:rFonts w:hint="eastAsia" w:ascii="宋体" w:hAnsi="宋体" w:eastAsia="宋体" w:cs="宋体"/>
          <w:color w:val="000000" w:themeColor="text1"/>
          <w:sz w:val="44"/>
          <w:szCs w:val="44"/>
          <w:highlight w:val="none"/>
          <w14:textFill>
            <w14:solidFill>
              <w14:schemeClr w14:val="tx1"/>
            </w14:solidFill>
          </w14:textFill>
        </w:rPr>
        <w:t>合同条款</w:t>
      </w:r>
    </w:p>
    <w:p w14:paraId="719A94FB">
      <w:pPr>
        <w:pStyle w:val="220"/>
        <w:tabs>
          <w:tab w:val="left" w:pos="7200"/>
        </w:tabs>
        <w:spacing w:line="360" w:lineRule="auto"/>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按照住房和城乡建设部、国家工商行政管理总局制定的《建设工程施工合同示范文本GF-201</w:t>
      </w:r>
      <w:r>
        <w:rPr>
          <w:rFonts w:ascii="宋体" w:hAnsi="宋体" w:cs="宋体"/>
          <w:b/>
          <w:bCs/>
          <w:color w:val="000000" w:themeColor="text1"/>
          <w:sz w:val="30"/>
          <w:szCs w:val="30"/>
          <w:highlight w:val="none"/>
          <w14:textFill>
            <w14:solidFill>
              <w14:schemeClr w14:val="tx1"/>
            </w14:solidFill>
          </w14:textFill>
        </w:rPr>
        <w:t>7</w:t>
      </w:r>
      <w:r>
        <w:rPr>
          <w:rFonts w:hint="eastAsia" w:ascii="宋体" w:hAnsi="宋体" w:cs="宋体"/>
          <w:b/>
          <w:bCs/>
          <w:color w:val="000000" w:themeColor="text1"/>
          <w:sz w:val="30"/>
          <w:szCs w:val="30"/>
          <w:highlight w:val="none"/>
          <w14:textFill>
            <w14:solidFill>
              <w14:schemeClr w14:val="tx1"/>
            </w14:solidFill>
          </w14:textFill>
        </w:rPr>
        <w:t>-0201》第二部分通用合同条款执行。</w:t>
      </w:r>
    </w:p>
    <w:p w14:paraId="66BF05E9">
      <w:pPr>
        <w:numPr>
          <w:ilvl w:val="0"/>
          <w:numId w:val="2"/>
        </w:numPr>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lang w:eastAsia="zh-CN"/>
          <w14:textFill>
            <w14:solidFill>
              <w14:schemeClr w14:val="tx1"/>
            </w14:solidFill>
          </w14:textFill>
        </w:rPr>
        <w:t>专用合同条款</w:t>
      </w:r>
    </w:p>
    <w:p w14:paraId="2963BE26">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1. 一般约定</w:t>
      </w:r>
    </w:p>
    <w:p w14:paraId="313DFCA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1.1法律 </w:t>
      </w:r>
    </w:p>
    <w:p w14:paraId="0F300E2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适用于合同的其他规范性文件：</w:t>
      </w:r>
      <w:r>
        <w:rPr>
          <w:rFonts w:hint="eastAsia" w:ascii="宋体" w:hAnsi="宋体" w:cs="宋体"/>
          <w:bCs/>
          <w:color w:val="000000" w:themeColor="text1"/>
          <w:sz w:val="24"/>
          <w:highlight w:val="none"/>
          <w:u w:val="single"/>
          <w14:textFill>
            <w14:solidFill>
              <w14:schemeClr w14:val="tx1"/>
            </w14:solidFill>
          </w14:textFill>
        </w:rPr>
        <w:t>《</w:t>
      </w:r>
      <w:r>
        <w:rPr>
          <w:rFonts w:hint="eastAsia" w:ascii="宋体" w:hAnsi="宋体" w:cs="宋体"/>
          <w:bCs/>
          <w:color w:val="000000" w:themeColor="text1"/>
          <w:sz w:val="24"/>
          <w:highlight w:val="none"/>
          <w:u w:val="single"/>
          <w:lang w:val="en-US" w:eastAsia="zh-CN"/>
          <w14:textFill>
            <w14:solidFill>
              <w14:schemeClr w14:val="tx1"/>
            </w14:solidFill>
          </w14:textFill>
        </w:rPr>
        <w:t>中华人民共和国</w:t>
      </w:r>
      <w:r>
        <w:rPr>
          <w:rFonts w:hint="eastAsia" w:ascii="宋体" w:hAnsi="宋体" w:cs="宋体"/>
          <w:bCs/>
          <w:color w:val="000000" w:themeColor="text1"/>
          <w:sz w:val="24"/>
          <w:highlight w:val="none"/>
          <w:u w:val="single"/>
          <w14:textFill>
            <w14:solidFill>
              <w14:schemeClr w14:val="tx1"/>
            </w14:solidFill>
          </w14:textFill>
        </w:rPr>
        <w:t>建筑法</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lang w:val="en-US" w:eastAsia="zh-CN"/>
          <w14:textFill>
            <w14:solidFill>
              <w14:schemeClr w14:val="tx1"/>
            </w14:solidFill>
          </w14:textFill>
        </w:rPr>
        <w:t>中华人民共和国</w:t>
      </w:r>
      <w:r>
        <w:rPr>
          <w:rFonts w:hint="eastAsia" w:ascii="宋体" w:hAnsi="宋体" w:cs="宋体"/>
          <w:bCs/>
          <w:color w:val="000000" w:themeColor="text1"/>
          <w:sz w:val="24"/>
          <w:highlight w:val="none"/>
          <w:u w:val="single"/>
          <w14:textFill>
            <w14:solidFill>
              <w14:schemeClr w14:val="tx1"/>
            </w14:solidFill>
          </w14:textFill>
        </w:rPr>
        <w:t>招标投标法</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中华人民共和国民法典</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lang w:val="en-US" w:eastAsia="zh-CN"/>
          <w14:textFill>
            <w14:solidFill>
              <w14:schemeClr w14:val="tx1"/>
            </w14:solidFill>
          </w14:textFill>
        </w:rPr>
        <w:t>中华人民共和国</w:t>
      </w:r>
      <w:r>
        <w:rPr>
          <w:rFonts w:hint="eastAsia" w:ascii="宋体" w:hAnsi="宋体" w:cs="宋体"/>
          <w:color w:val="000000" w:themeColor="text1"/>
          <w:sz w:val="24"/>
          <w:highlight w:val="none"/>
          <w:u w:val="single"/>
          <w14:textFill>
            <w14:solidFill>
              <w14:schemeClr w14:val="tx1"/>
            </w14:solidFill>
          </w14:textFill>
        </w:rPr>
        <w:t>安全生产法》</w:t>
      </w:r>
      <w:r>
        <w:rPr>
          <w:rFonts w:hint="eastAsia" w:ascii="宋体" w:hAnsi="宋体" w:cs="宋体"/>
          <w:bCs/>
          <w:color w:val="000000" w:themeColor="text1"/>
          <w:sz w:val="24"/>
          <w:highlight w:val="none"/>
          <w:u w:val="single"/>
          <w14:textFill>
            <w14:solidFill>
              <w14:schemeClr w14:val="tx1"/>
            </w14:solidFill>
          </w14:textFill>
        </w:rPr>
        <w:t>及无锡市相关的地方性规章和政策文件</w:t>
      </w:r>
      <w:r>
        <w:rPr>
          <w:rFonts w:hint="eastAsia" w:ascii="宋体" w:hAnsi="宋体" w:cs="宋体"/>
          <w:color w:val="000000" w:themeColor="text1"/>
          <w:sz w:val="24"/>
          <w:highlight w:val="none"/>
          <w14:textFill>
            <w14:solidFill>
              <w14:schemeClr w14:val="tx1"/>
            </w14:solidFill>
          </w14:textFill>
        </w:rPr>
        <w:t>。</w:t>
      </w:r>
    </w:p>
    <w:p w14:paraId="04D0D80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标准和规范</w:t>
      </w:r>
    </w:p>
    <w:p w14:paraId="7954AF20">
      <w:pPr>
        <w:spacing w:line="360" w:lineRule="auto"/>
        <w:ind w:firstLine="48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1.2.1适用于工程的标准规范包括：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现行的国家标准、行业标准、工程所在地的地方性标准，以及相应的规范、规程等</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14:paraId="2808FC9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 合同文件的优先顺序</w:t>
      </w:r>
    </w:p>
    <w:p w14:paraId="5038FE8F">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合同文件组成及优先顺序为：</w:t>
      </w:r>
      <w:r>
        <w:rPr>
          <w:rFonts w:hint="eastAsia" w:ascii="宋体" w:hAnsi="宋体" w:cs="宋体"/>
          <w:bCs/>
          <w:color w:val="000000" w:themeColor="text1"/>
          <w:sz w:val="24"/>
          <w:highlight w:val="none"/>
          <w:u w:val="single"/>
          <w14:textFill>
            <w14:solidFill>
              <w14:schemeClr w14:val="tx1"/>
            </w14:solidFill>
          </w14:textFill>
        </w:rPr>
        <w:t>(1</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本合同协议书、</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2</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成交通知书、</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3</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响应文件及其附件、</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4</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本合同条款 (5</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技术标准和要求、</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6</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图纸及图纸答疑、</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7</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已标价工程量清单、</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8</w:t>
      </w:r>
      <w:r>
        <w:rPr>
          <w:rFonts w:hint="eastAsia" w:ascii="宋体" w:hAnsi="宋体" w:cs="宋体"/>
          <w:bCs/>
          <w:color w:val="000000" w:themeColor="text1"/>
          <w:sz w:val="24"/>
          <w:highlight w:val="none"/>
          <w:u w:val="single"/>
          <w:lang w:eastAsia="zh-CN"/>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其他合同文件。如本工程签署合同补充协议，应以最新签署的文件为准。</w:t>
      </w:r>
    </w:p>
    <w:p w14:paraId="6596E205">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2. 发包人</w:t>
      </w:r>
    </w:p>
    <w:p w14:paraId="6212505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发包人</w:t>
      </w:r>
    </w:p>
    <w:p w14:paraId="46C81974">
      <w:pPr>
        <w:spacing w:line="360" w:lineRule="auto"/>
        <w:ind w:firstLine="48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发包人对发包人代表的授权范围如下：</w:t>
      </w:r>
      <w:r>
        <w:rPr>
          <w:rFonts w:hint="eastAsia" w:ascii="宋体" w:hAnsi="宋体" w:cs="宋体"/>
          <w:bCs/>
          <w:color w:val="000000" w:themeColor="text1"/>
          <w:sz w:val="24"/>
          <w:highlight w:val="none"/>
          <w:u w:val="single"/>
          <w14:textFill>
            <w14:solidFill>
              <w14:schemeClr w14:val="tx1"/>
            </w14:solidFill>
          </w14:textFill>
        </w:rPr>
        <w:t>现场施工、设计管理、组织协调、认可工程量，质量、进度、投资控制，信息处理，付款签证及工程签证（须由后勤处负责人确认）、变更的认证及增加的工程量认证等现场事务。</w:t>
      </w:r>
    </w:p>
    <w:p w14:paraId="0F55784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 施工现场、施工条件和基础资料的提供</w:t>
      </w:r>
    </w:p>
    <w:p w14:paraId="4F82D39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2.2.1 提供施工现场</w:t>
      </w:r>
    </w:p>
    <w:p w14:paraId="6CEBF98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关于发包人移交施工现场的期限要求：</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2153B3D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2.2.2 提供施工条件</w:t>
      </w:r>
    </w:p>
    <w:p w14:paraId="3E7FDDBA">
      <w:pPr>
        <w:spacing w:line="360" w:lineRule="auto"/>
        <w:ind w:firstLine="4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关于发包人应负责提供施工所需要的条件，包括：</w:t>
      </w:r>
    </w:p>
    <w:p w14:paraId="270D157B">
      <w:pPr>
        <w:spacing w:line="360" w:lineRule="auto"/>
        <w:ind w:firstLine="463"/>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 xml:space="preserve"> 施工场地具备施工条件的要求及完成的时间：</w:t>
      </w:r>
      <w:r>
        <w:rPr>
          <w:rFonts w:hint="eastAsia" w:ascii="宋体" w:hAnsi="宋体" w:cs="宋体"/>
          <w:bCs/>
          <w:color w:val="000000" w:themeColor="text1"/>
          <w:sz w:val="24"/>
          <w:highlight w:val="none"/>
          <w:u w:val="single"/>
          <w14:textFill>
            <w14:solidFill>
              <w14:schemeClr w14:val="tx1"/>
            </w14:solidFill>
          </w14:textFill>
        </w:rPr>
        <w:t>三通一平；合同签订后。</w:t>
      </w:r>
    </w:p>
    <w:p w14:paraId="28148AD9">
      <w:pPr>
        <w:spacing w:line="360" w:lineRule="auto"/>
        <w:ind w:firstLine="463"/>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 xml:space="preserve"> 将施工所需的水、电、电讯线路接至施工场地的时间、地点和供应要求：</w:t>
      </w:r>
      <w:r>
        <w:rPr>
          <w:rFonts w:hint="eastAsia" w:ascii="宋体" w:hAnsi="宋体" w:cs="宋体"/>
          <w:bCs/>
          <w:color w:val="000000" w:themeColor="text1"/>
          <w:sz w:val="24"/>
          <w:highlight w:val="none"/>
          <w:u w:val="single"/>
          <w14:textFill>
            <w14:solidFill>
              <w14:schemeClr w14:val="tx1"/>
            </w14:solidFill>
          </w14:textFill>
        </w:rPr>
        <w:t>由发包人提供水、电接口。</w:t>
      </w:r>
    </w:p>
    <w:p w14:paraId="335F8710">
      <w:pPr>
        <w:spacing w:line="360" w:lineRule="auto"/>
        <w:ind w:firstLine="463"/>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 xml:space="preserve"> 施工场地与公共道路的通道开通时间和要求：</w:t>
      </w:r>
      <w:r>
        <w:rPr>
          <w:rFonts w:hint="eastAsia" w:ascii="宋体" w:hAnsi="宋体" w:cs="宋体"/>
          <w:bCs/>
          <w:color w:val="000000" w:themeColor="text1"/>
          <w:sz w:val="24"/>
          <w:highlight w:val="none"/>
          <w:u w:val="single"/>
          <w14:textFill>
            <w14:solidFill>
              <w14:schemeClr w14:val="tx1"/>
            </w14:solidFill>
          </w14:textFill>
        </w:rPr>
        <w:t>已完成。</w:t>
      </w:r>
    </w:p>
    <w:p w14:paraId="77A8F7D2">
      <w:pPr>
        <w:spacing w:line="360" w:lineRule="auto"/>
        <w:ind w:firstLine="463"/>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 xml:space="preserve"> 工程地质和地下管线资料的提供时间：</w:t>
      </w:r>
      <w:r>
        <w:rPr>
          <w:rFonts w:hint="eastAsia" w:ascii="宋体" w:hAnsi="宋体" w:cs="宋体"/>
          <w:bCs/>
          <w:color w:val="000000" w:themeColor="text1"/>
          <w:sz w:val="24"/>
          <w:highlight w:val="none"/>
          <w:u w:val="single"/>
          <w14:textFill>
            <w14:solidFill>
              <w14:schemeClr w14:val="tx1"/>
            </w14:solidFill>
          </w14:textFill>
        </w:rPr>
        <w:t>进场施工后由发包人提供有关管线图纸现场交底，及时提供、保证承包人的施工需要。</w:t>
      </w:r>
    </w:p>
    <w:p w14:paraId="37725070">
      <w:pPr>
        <w:spacing w:line="360" w:lineRule="auto"/>
        <w:ind w:firstLine="463"/>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 xml:space="preserve"> 由发包人办理的施工所需证件、批件的名称和完成时间：</w:t>
      </w:r>
      <w:r>
        <w:rPr>
          <w:rFonts w:hint="eastAsia" w:ascii="宋体" w:hAnsi="宋体" w:cs="宋体"/>
          <w:bCs/>
          <w:color w:val="000000" w:themeColor="text1"/>
          <w:sz w:val="24"/>
          <w:highlight w:val="none"/>
          <w:u w:val="single"/>
          <w14:textFill>
            <w14:solidFill>
              <w14:schemeClr w14:val="tx1"/>
            </w14:solidFill>
          </w14:textFill>
        </w:rPr>
        <w:t>对工程施工应具备的全部申请批准手续及时提供，确保承包人工程施工的顺利进展。</w:t>
      </w:r>
    </w:p>
    <w:p w14:paraId="6E182EEA">
      <w:pPr>
        <w:spacing w:line="360" w:lineRule="auto"/>
        <w:ind w:firstLine="46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 xml:space="preserve"> 水准点与</w:t>
      </w:r>
      <w:r>
        <w:rPr>
          <w:rFonts w:hint="eastAsia" w:ascii="宋体" w:hAnsi="宋体" w:cs="宋体"/>
          <w:color w:val="000000" w:themeColor="text1"/>
          <w:sz w:val="24"/>
          <w:highlight w:val="none"/>
          <w:lang w:eastAsia="zh-CN"/>
          <w14:textFill>
            <w14:solidFill>
              <w14:schemeClr w14:val="tx1"/>
            </w14:solidFill>
          </w14:textFill>
        </w:rPr>
        <w:t>坐标</w:t>
      </w:r>
      <w:r>
        <w:rPr>
          <w:rFonts w:hint="eastAsia" w:ascii="宋体" w:hAnsi="宋体" w:cs="宋体"/>
          <w:color w:val="000000" w:themeColor="text1"/>
          <w:sz w:val="24"/>
          <w:highlight w:val="none"/>
          <w14:textFill>
            <w14:solidFill>
              <w14:schemeClr w14:val="tx1"/>
            </w14:solidFill>
          </w14:textFill>
        </w:rPr>
        <w:t>控制点交验要求：</w:t>
      </w:r>
      <w:r>
        <w:rPr>
          <w:rFonts w:hint="eastAsia" w:ascii="宋体" w:hAnsi="宋体" w:cs="宋体"/>
          <w:color w:val="000000" w:themeColor="text1"/>
          <w:sz w:val="24"/>
          <w:highlight w:val="none"/>
          <w:u w:val="single"/>
          <w14:textFill>
            <w14:solidFill>
              <w14:schemeClr w14:val="tx1"/>
            </w14:solidFill>
          </w14:textFill>
        </w:rPr>
        <w:t>由发包人提供。</w:t>
      </w:r>
    </w:p>
    <w:p w14:paraId="2588EE01">
      <w:pPr>
        <w:spacing w:line="360" w:lineRule="auto"/>
        <w:ind w:firstLine="46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 xml:space="preserve"> 协调处理施工场地周围地下管线和邻近建筑物、构筑物（含文物保护建筑）、古树名木的保护工作：</w:t>
      </w:r>
      <w:r>
        <w:rPr>
          <w:rFonts w:hint="eastAsia" w:ascii="宋体" w:hAnsi="宋体" w:cs="宋体"/>
          <w:bCs/>
          <w:color w:val="000000" w:themeColor="text1"/>
          <w:sz w:val="24"/>
          <w:highlight w:val="none"/>
          <w:u w:val="single"/>
          <w14:textFill>
            <w14:solidFill>
              <w14:schemeClr w14:val="tx1"/>
            </w14:solidFill>
          </w14:textFill>
        </w:rPr>
        <w:t>发包人将提供图纸对地下管线及其他需保护物进行现场交底，交底后由承包人对地下管线及其他需保护物进行保护。</w:t>
      </w:r>
    </w:p>
    <w:p w14:paraId="7E7E6624">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3. 承包人</w:t>
      </w:r>
    </w:p>
    <w:p w14:paraId="32BCCCC6">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 承包人的一般义务</w:t>
      </w:r>
    </w:p>
    <w:p w14:paraId="5B1E40BA">
      <w:pPr>
        <w:spacing w:line="360" w:lineRule="auto"/>
        <w:ind w:firstLine="36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（5）承包人提交的竣工资料的内容：</w:t>
      </w:r>
      <w:r>
        <w:rPr>
          <w:rFonts w:hint="eastAsia" w:ascii="宋体" w:hAnsi="宋体" w:cs="宋体"/>
          <w:color w:val="000000" w:themeColor="text1"/>
          <w:sz w:val="24"/>
          <w:highlight w:val="none"/>
          <w:u w:val="single"/>
          <w14:textFill>
            <w14:solidFill>
              <w14:schemeClr w14:val="tx1"/>
            </w14:solidFill>
          </w14:textFill>
        </w:rPr>
        <w:t>包</w:t>
      </w:r>
      <w:r>
        <w:rPr>
          <w:rFonts w:hint="eastAsia" w:ascii="宋体" w:hAnsi="宋体" w:cs="宋体"/>
          <w:color w:val="000000" w:themeColor="text1"/>
          <w:sz w:val="24"/>
          <w:highlight w:val="none"/>
          <w:u w:val="single"/>
          <w:lang w:eastAsia="zh-CN"/>
          <w14:textFill>
            <w14:solidFill>
              <w14:schemeClr w14:val="tx1"/>
            </w14:solidFill>
          </w14:textFill>
        </w:rPr>
        <w:t>括但</w:t>
      </w:r>
      <w:r>
        <w:rPr>
          <w:rFonts w:hint="eastAsia" w:ascii="宋体" w:hAnsi="宋体" w:cs="宋体"/>
          <w:color w:val="000000" w:themeColor="text1"/>
          <w:sz w:val="24"/>
          <w:highlight w:val="none"/>
          <w:u w:val="single"/>
          <w14:textFill>
            <w14:solidFill>
              <w14:schemeClr w14:val="tx1"/>
            </w14:solidFill>
          </w14:textFill>
        </w:rPr>
        <w:t>不限于竣工验收报告、结算书等符合档案馆归档要求及发包人结算要求的全部资料</w:t>
      </w:r>
      <w:r>
        <w:rPr>
          <w:rFonts w:hint="eastAsia" w:ascii="宋体" w:hAnsi="宋体" w:cs="宋体"/>
          <w:color w:val="000000" w:themeColor="text1"/>
          <w:sz w:val="24"/>
          <w:highlight w:val="none"/>
          <w14:textFill>
            <w14:solidFill>
              <w14:schemeClr w14:val="tx1"/>
            </w14:solidFill>
          </w14:textFill>
        </w:rPr>
        <w:t>。</w:t>
      </w:r>
    </w:p>
    <w:p w14:paraId="5817F3D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承包人需要提交的竣工资料套数：</w:t>
      </w:r>
      <w:r>
        <w:rPr>
          <w:rFonts w:hint="eastAsia" w:ascii="宋体" w:hAnsi="宋体" w:cs="宋体"/>
          <w:color w:val="000000" w:themeColor="text1"/>
          <w:sz w:val="24"/>
          <w:highlight w:val="none"/>
          <w:u w:val="single"/>
          <w14:textFill>
            <w14:solidFill>
              <w14:schemeClr w14:val="tx1"/>
            </w14:solidFill>
          </w14:textFill>
        </w:rPr>
        <w:t xml:space="preserve">        四套            </w:t>
      </w:r>
      <w:r>
        <w:rPr>
          <w:rFonts w:hint="eastAsia" w:ascii="宋体" w:hAnsi="宋体" w:cs="宋体"/>
          <w:color w:val="000000" w:themeColor="text1"/>
          <w:sz w:val="24"/>
          <w:highlight w:val="none"/>
          <w14:textFill>
            <w14:solidFill>
              <w14:schemeClr w14:val="tx1"/>
            </w14:solidFill>
          </w14:textFill>
        </w:rPr>
        <w:t>。</w:t>
      </w:r>
    </w:p>
    <w:p w14:paraId="115DB13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承包人提交的竣工资料的费用承担：</w:t>
      </w:r>
      <w:r>
        <w:rPr>
          <w:rFonts w:hint="eastAsia" w:ascii="宋体" w:hAnsi="宋体" w:cs="宋体"/>
          <w:color w:val="000000" w:themeColor="text1"/>
          <w:sz w:val="24"/>
          <w:highlight w:val="none"/>
          <w:u w:val="single"/>
          <w14:textFill>
            <w14:solidFill>
              <w14:schemeClr w14:val="tx1"/>
            </w14:solidFill>
          </w14:textFill>
        </w:rPr>
        <w:t xml:space="preserve">      承包人承担      </w:t>
      </w:r>
      <w:r>
        <w:rPr>
          <w:rFonts w:hint="eastAsia" w:ascii="宋体" w:hAnsi="宋体" w:cs="宋体"/>
          <w:color w:val="000000" w:themeColor="text1"/>
          <w:sz w:val="24"/>
          <w:highlight w:val="none"/>
          <w14:textFill>
            <w14:solidFill>
              <w14:schemeClr w14:val="tx1"/>
            </w14:solidFill>
          </w14:textFill>
        </w:rPr>
        <w:t>。</w:t>
      </w:r>
    </w:p>
    <w:p w14:paraId="507B3C3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承包人提交的竣工资料移交时间：</w:t>
      </w:r>
      <w:r>
        <w:rPr>
          <w:rFonts w:hint="eastAsia" w:ascii="宋体" w:hAnsi="宋体" w:cs="宋体"/>
          <w:color w:val="000000" w:themeColor="text1"/>
          <w:sz w:val="24"/>
          <w:highlight w:val="none"/>
          <w:u w:val="single"/>
          <w14:textFill>
            <w14:solidFill>
              <w14:schemeClr w14:val="tx1"/>
            </w14:solidFill>
          </w14:textFill>
        </w:rPr>
        <w:t xml:space="preserve">    竣工验收通过45天内   </w:t>
      </w:r>
      <w:r>
        <w:rPr>
          <w:rFonts w:hint="eastAsia" w:ascii="宋体" w:hAnsi="宋体" w:cs="宋体"/>
          <w:color w:val="000000" w:themeColor="text1"/>
          <w:sz w:val="24"/>
          <w:highlight w:val="none"/>
          <w14:textFill>
            <w14:solidFill>
              <w14:schemeClr w14:val="tx1"/>
            </w14:solidFill>
          </w14:textFill>
        </w:rPr>
        <w:t>。</w:t>
      </w:r>
    </w:p>
    <w:p w14:paraId="5FAFC7BC">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承包人提交的竣工资料形式要求：</w:t>
      </w:r>
      <w:r>
        <w:rPr>
          <w:rFonts w:hint="eastAsia" w:ascii="宋体" w:hAnsi="宋体" w:cs="宋体"/>
          <w:color w:val="000000" w:themeColor="text1"/>
          <w:sz w:val="24"/>
          <w:highlight w:val="none"/>
          <w:u w:val="single"/>
          <w14:textFill>
            <w14:solidFill>
              <w14:schemeClr w14:val="tx1"/>
            </w14:solidFill>
          </w14:textFill>
        </w:rPr>
        <w:t xml:space="preserve">    书面资料和电子文档  </w:t>
      </w:r>
      <w:r>
        <w:rPr>
          <w:rFonts w:hint="eastAsia" w:ascii="宋体" w:hAnsi="宋体" w:cs="宋体"/>
          <w:color w:val="000000" w:themeColor="text1"/>
          <w:sz w:val="24"/>
          <w:highlight w:val="none"/>
          <w14:textFill>
            <w14:solidFill>
              <w14:schemeClr w14:val="tx1"/>
            </w14:solidFill>
          </w14:textFill>
        </w:rPr>
        <w:t>。</w:t>
      </w:r>
    </w:p>
    <w:p w14:paraId="69B455A0">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（6）承包人应履行的其他义务：</w:t>
      </w:r>
    </w:p>
    <w:p w14:paraId="1F8FEBBE">
      <w:pPr>
        <w:spacing w:line="360" w:lineRule="auto"/>
        <w:ind w:firstLine="48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承担施工安全保卫工作及非夜间施工照明的责任和要求：</w:t>
      </w:r>
      <w:r>
        <w:rPr>
          <w:rFonts w:hint="eastAsia" w:ascii="宋体" w:hAnsi="宋体" w:cs="宋体"/>
          <w:bCs/>
          <w:color w:val="000000" w:themeColor="text1"/>
          <w:sz w:val="24"/>
          <w:highlight w:val="none"/>
          <w:u w:val="single"/>
          <w14:textFill>
            <w14:solidFill>
              <w14:schemeClr w14:val="tx1"/>
            </w14:solidFill>
          </w14:textFill>
        </w:rPr>
        <w:t>切实做好施工范围内的各项安全保卫工作及夜间施工的照明工作，如因承包人安全文明措施或夜间施工照明措施不到位，造成发生事故，所有责任由承包人承担。</w:t>
      </w:r>
    </w:p>
    <w:p w14:paraId="3A1E1BC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向发包人提供的办公和生活房屋及设施的要求：</w:t>
      </w:r>
      <w:r>
        <w:rPr>
          <w:rFonts w:hint="eastAsia" w:ascii="宋体" w:hAnsi="宋体" w:cs="宋体"/>
          <w:color w:val="000000" w:themeColor="text1"/>
          <w:sz w:val="24"/>
          <w:highlight w:val="none"/>
          <w:u w:val="single"/>
          <w14:textFill>
            <w14:solidFill>
              <w14:schemeClr w14:val="tx1"/>
            </w14:solidFill>
          </w14:textFill>
        </w:rPr>
        <w:t xml:space="preserve">      /      。</w:t>
      </w:r>
    </w:p>
    <w:p w14:paraId="0B6B40E0">
      <w:pPr>
        <w:spacing w:line="360" w:lineRule="auto"/>
        <w:ind w:left="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承包人办理的有关包括但不限于施工场地交通、环卫和施工噪声管理等手续：</w:t>
      </w:r>
    </w:p>
    <w:p w14:paraId="3CB3AE8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由承包人办理有关手续，发包人协办。</w:t>
      </w:r>
    </w:p>
    <w:p w14:paraId="6EEC2030">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已完工程成品保护的特殊要求及费用承担：</w:t>
      </w:r>
      <w:r>
        <w:rPr>
          <w:rFonts w:hint="eastAsia" w:ascii="宋体" w:hAnsi="宋体" w:cs="宋体"/>
          <w:color w:val="000000" w:themeColor="text1"/>
          <w:sz w:val="24"/>
          <w:highlight w:val="none"/>
          <w:u w:val="single"/>
          <w14:textFill>
            <w14:solidFill>
              <w14:schemeClr w14:val="tx1"/>
            </w14:solidFill>
          </w14:textFill>
        </w:rPr>
        <w:t>在施工现场范围内，均由承包人承担。</w:t>
      </w:r>
    </w:p>
    <w:p w14:paraId="34D72BA6">
      <w:pPr>
        <w:spacing w:line="360" w:lineRule="auto"/>
        <w:ind w:hanging="105"/>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施工场地周围地下管线和邻近建筑物、构筑物（含文物保护建筑）、古树名木的保护要求及费用承担：</w:t>
      </w:r>
      <w:r>
        <w:rPr>
          <w:rFonts w:hint="eastAsia" w:ascii="宋体" w:hAnsi="宋体" w:cs="宋体"/>
          <w:bCs/>
          <w:color w:val="000000" w:themeColor="text1"/>
          <w:sz w:val="24"/>
          <w:highlight w:val="none"/>
          <w:u w:val="single"/>
          <w14:textFill>
            <w14:solidFill>
              <w14:schemeClr w14:val="tx1"/>
            </w14:solidFill>
          </w14:textFill>
        </w:rPr>
        <w:t>根据发包人的交底资料做好保护。属交底范围内的地下管线及其他需保护物损坏，属于承包人的责任，修理费用由承包人承担；若承包人对地下管线及其他需保护物有不负责任行为，除修复并承担修复费用外，视情节严重程度</w:t>
      </w:r>
      <w:r>
        <w:rPr>
          <w:rFonts w:hint="eastAsia" w:ascii="宋体" w:hAnsi="宋体" w:cs="宋体"/>
          <w:bCs/>
          <w:color w:val="000000" w:themeColor="text1"/>
          <w:sz w:val="24"/>
          <w:highlight w:val="none"/>
          <w:u w:val="single"/>
          <w:lang w:eastAsia="zh-CN"/>
          <w14:textFill>
            <w14:solidFill>
              <w14:schemeClr w14:val="tx1"/>
            </w14:solidFill>
          </w14:textFill>
        </w:rPr>
        <w:t>给予一定</w:t>
      </w:r>
      <w:r>
        <w:rPr>
          <w:rFonts w:hint="eastAsia" w:ascii="宋体" w:hAnsi="宋体" w:cs="宋体"/>
          <w:bCs/>
          <w:color w:val="000000" w:themeColor="text1"/>
          <w:sz w:val="24"/>
          <w:highlight w:val="none"/>
          <w:u w:val="single"/>
          <w14:textFill>
            <w14:solidFill>
              <w14:schemeClr w14:val="tx1"/>
            </w14:solidFill>
          </w14:textFill>
        </w:rPr>
        <w:t>数额的罚款。</w:t>
      </w:r>
    </w:p>
    <w:p w14:paraId="74BD95F6">
      <w:pPr>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施工场地清洁卫生的要求</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u w:val="single"/>
          <w14:textFill>
            <w14:solidFill>
              <w14:schemeClr w14:val="tx1"/>
            </w14:solidFill>
          </w14:textFill>
        </w:rPr>
        <w:t>㈠所有的废水、污水应按相关部门的要求处理，不得污染环境，由此而引发的后果由承包人自行负责。㈡应符合无锡市有关工程施工现场的文明卫生要求。要求如下：首要是施工期间不得影响周边群众的正常工作、生活并无条件接受有关部门的指挥、安排，要加强现场的封闭式管理。封闭围栏要做到整洁、美观、安全可靠。二是防止抛洒滴漏。运输建筑材料、垃圾和工程渣土的车辆，应当采取有效措施，防止建筑材料、垃圾和工程渣土飞扬、</w:t>
      </w:r>
      <w:r>
        <w:rPr>
          <w:rFonts w:hint="eastAsia" w:ascii="宋体" w:hAnsi="宋体" w:cs="宋体"/>
          <w:bCs/>
          <w:color w:val="000000" w:themeColor="text1"/>
          <w:sz w:val="24"/>
          <w:highlight w:val="none"/>
          <w:u w:val="single"/>
          <w:lang w:eastAsia="zh-CN"/>
          <w14:textFill>
            <w14:solidFill>
              <w14:schemeClr w14:val="tx1"/>
            </w14:solidFill>
          </w14:textFill>
        </w:rPr>
        <w:t>撒落</w:t>
      </w:r>
      <w:r>
        <w:rPr>
          <w:rFonts w:hint="eastAsia" w:ascii="宋体" w:hAnsi="宋体" w:cs="宋体"/>
          <w:bCs/>
          <w:color w:val="000000" w:themeColor="text1"/>
          <w:sz w:val="24"/>
          <w:highlight w:val="none"/>
          <w:u w:val="single"/>
          <w14:textFill>
            <w14:solidFill>
              <w14:schemeClr w14:val="tx1"/>
            </w14:solidFill>
          </w14:textFill>
        </w:rPr>
        <w:t>或流溢，保证</w:t>
      </w:r>
      <w:r>
        <w:rPr>
          <w:rFonts w:hint="eastAsia" w:ascii="宋体" w:hAnsi="宋体" w:cs="宋体"/>
          <w:bCs/>
          <w:color w:val="000000" w:themeColor="text1"/>
          <w:sz w:val="24"/>
          <w:highlight w:val="none"/>
          <w:u w:val="single"/>
          <w:lang w:eastAsia="zh-CN"/>
          <w14:textFill>
            <w14:solidFill>
              <w14:schemeClr w14:val="tx1"/>
            </w14:solidFill>
          </w14:textFill>
        </w:rPr>
        <w:t>行驶</w:t>
      </w:r>
      <w:r>
        <w:rPr>
          <w:rFonts w:hint="eastAsia" w:ascii="宋体" w:hAnsi="宋体" w:cs="宋体"/>
          <w:bCs/>
          <w:color w:val="000000" w:themeColor="text1"/>
          <w:sz w:val="24"/>
          <w:highlight w:val="none"/>
          <w:u w:val="single"/>
          <w14:textFill>
            <w14:solidFill>
              <w14:schemeClr w14:val="tx1"/>
            </w14:solidFill>
          </w14:textFill>
        </w:rPr>
        <w:t>途中不污染道路和环境。主要出入口道路要硬化处理，车辆驶出工地前要坚持冲洗。不冲洗车辆不得出场。三是科学合理地确定交通组织方案。四是加强施工现场管理。施工现场平面布置合理，各类材料的堆放要做到整齐有序，不任意占用车行道、人行道废料、垃圾及不需要的临时设施应及时清除、拆除并外运。</w:t>
      </w:r>
    </w:p>
    <w:p w14:paraId="52F62C58">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 项目负责人</w:t>
      </w:r>
    </w:p>
    <w:p w14:paraId="547CC941">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 项目负责人：</w:t>
      </w:r>
    </w:p>
    <w:p w14:paraId="426A26AF">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    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39B2D6B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身份证号：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4FF2FF9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建造师执业资格等级：</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6EC1000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建造师注册证书号：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7718A90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建造师执业印章号：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34AF140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安全生产考核合格证书号：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596E228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46CFE3EF">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电子信箱：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718F63DE">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通信地址：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1C31883B">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承包人对项目负责人的授权范围如下：</w:t>
      </w:r>
      <w:r>
        <w:rPr>
          <w:rFonts w:hint="eastAsia" w:ascii="宋体" w:hAnsi="宋体" w:cs="宋体"/>
          <w:color w:val="000000" w:themeColor="text1"/>
          <w:sz w:val="24"/>
          <w:highlight w:val="none"/>
          <w:u w:val="single"/>
          <w14:textFill>
            <w14:solidFill>
              <w14:schemeClr w14:val="tx1"/>
            </w14:solidFill>
          </w14:textFill>
        </w:rPr>
        <w:t>行使完成本项目要求的一切权利</w:t>
      </w:r>
      <w:r>
        <w:rPr>
          <w:rFonts w:hint="eastAsia" w:ascii="宋体" w:hAnsi="宋体" w:cs="宋体"/>
          <w:color w:val="000000" w:themeColor="text1"/>
          <w:sz w:val="24"/>
          <w:highlight w:val="none"/>
          <w14:textFill>
            <w14:solidFill>
              <w14:schemeClr w14:val="tx1"/>
            </w14:solidFill>
          </w14:textFill>
        </w:rPr>
        <w:t>。</w:t>
      </w:r>
    </w:p>
    <w:p w14:paraId="4C01624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承包人未提交劳动合同，以及没有为项目负责人缴纳社会保险证明的违约责任：</w:t>
      </w:r>
      <w:r>
        <w:rPr>
          <w:rFonts w:hint="eastAsia" w:ascii="宋体" w:hAnsi="宋体" w:cs="宋体"/>
          <w:color w:val="000000" w:themeColor="text1"/>
          <w:sz w:val="24"/>
          <w:highlight w:val="none"/>
          <w:u w:val="single"/>
          <w14:textFill>
            <w14:solidFill>
              <w14:schemeClr w14:val="tx1"/>
            </w14:solidFill>
          </w14:textFill>
        </w:rPr>
        <w:t>发包人有权解除本合同且发包人有权要求承包人承担发包方的所有损失</w:t>
      </w:r>
      <w:r>
        <w:rPr>
          <w:rFonts w:hint="eastAsia" w:ascii="宋体" w:hAnsi="宋体" w:cs="宋体"/>
          <w:color w:val="000000" w:themeColor="text1"/>
          <w:sz w:val="24"/>
          <w:highlight w:val="none"/>
          <w14:textFill>
            <w14:solidFill>
              <w14:schemeClr w14:val="tx1"/>
            </w14:solidFill>
          </w14:textFill>
        </w:rPr>
        <w:t>。</w:t>
      </w:r>
    </w:p>
    <w:p w14:paraId="6A5ADBA2">
      <w:pPr>
        <w:spacing w:line="360" w:lineRule="auto"/>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3.2.2 项目安全员及常驻人员名单如下：</w:t>
      </w:r>
    </w:p>
    <w:p w14:paraId="2CE9D75D">
      <w:pPr>
        <w:spacing w:line="360" w:lineRule="auto"/>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项目安全员______________________；身份证号：_______________________；</w:t>
      </w:r>
    </w:p>
    <w:p w14:paraId="2D2C05A5">
      <w:pPr>
        <w:spacing w:line="360" w:lineRule="auto"/>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常驻人员1：____________________；身份证号：_______________________；</w:t>
      </w:r>
    </w:p>
    <w:p w14:paraId="6A3221FD">
      <w:pPr>
        <w:spacing w:line="360" w:lineRule="auto"/>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常驻人员2：____________________；身份证号：_______________________；</w:t>
      </w:r>
    </w:p>
    <w:p w14:paraId="655EAF4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安全员及</w:t>
      </w:r>
      <w:r>
        <w:rPr>
          <w:rFonts w:hint="eastAsia" w:ascii="宋体" w:hAnsi="宋体" w:cs="宋体"/>
          <w:color w:val="000000" w:themeColor="text1"/>
          <w:sz w:val="24"/>
          <w:highlight w:val="none"/>
          <w14:textFill>
            <w14:solidFill>
              <w14:schemeClr w14:val="tx1"/>
            </w14:solidFill>
          </w14:textFill>
        </w:rPr>
        <w:t>驻点人员，一经中标不得更换，如需更换需经甲方同意并更换相同资质人员。</w:t>
      </w:r>
    </w:p>
    <w:p w14:paraId="54BAABA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3.2.3 承包人擅自更换项目负责人的违约责任：</w:t>
      </w:r>
      <w:r>
        <w:rPr>
          <w:rFonts w:hint="eastAsia" w:ascii="宋体" w:hAnsi="宋体" w:cs="宋体"/>
          <w:color w:val="000000" w:themeColor="text1"/>
          <w:sz w:val="24"/>
          <w:highlight w:val="none"/>
          <w:u w:val="single"/>
          <w14:textFill>
            <w14:solidFill>
              <w14:schemeClr w14:val="tx1"/>
            </w14:solidFill>
          </w14:textFill>
        </w:rPr>
        <w:t>扣除合同金额5%的违约金直至解除合同</w:t>
      </w:r>
      <w:r>
        <w:rPr>
          <w:rFonts w:hint="eastAsia" w:ascii="宋体" w:hAnsi="宋体" w:cs="宋体"/>
          <w:color w:val="000000" w:themeColor="text1"/>
          <w:sz w:val="24"/>
          <w:highlight w:val="none"/>
          <w14:textFill>
            <w14:solidFill>
              <w14:schemeClr w14:val="tx1"/>
            </w14:solidFill>
          </w14:textFill>
        </w:rPr>
        <w:t>。</w:t>
      </w:r>
    </w:p>
    <w:p w14:paraId="0BEFE91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3.2.4 承包人无正当理由拒绝更换项目负责人的违约责任：</w:t>
      </w:r>
      <w:r>
        <w:rPr>
          <w:rFonts w:hint="eastAsia" w:ascii="宋体" w:hAnsi="宋体" w:cs="宋体"/>
          <w:color w:val="000000" w:themeColor="text1"/>
          <w:sz w:val="24"/>
          <w:highlight w:val="none"/>
          <w:u w:val="single"/>
          <w14:textFill>
            <w14:solidFill>
              <w14:schemeClr w14:val="tx1"/>
            </w14:solidFill>
          </w14:textFill>
        </w:rPr>
        <w:t>扣除合同金额5%的违约金直至解除合同</w:t>
      </w:r>
      <w:r>
        <w:rPr>
          <w:rFonts w:hint="eastAsia" w:ascii="宋体" w:hAnsi="宋体" w:cs="宋体"/>
          <w:color w:val="000000" w:themeColor="text1"/>
          <w:sz w:val="24"/>
          <w:highlight w:val="none"/>
          <w14:textFill>
            <w14:solidFill>
              <w14:schemeClr w14:val="tx1"/>
            </w14:solidFill>
          </w14:textFill>
        </w:rPr>
        <w:t>。</w:t>
      </w:r>
    </w:p>
    <w:p w14:paraId="1B6D2C67">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 承包人人员</w:t>
      </w:r>
    </w:p>
    <w:p w14:paraId="123D018C">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highlight w:val="none"/>
          <w:u w:val="single"/>
          <w14:textFill>
            <w14:solidFill>
              <w14:schemeClr w14:val="tx1"/>
            </w14:solidFill>
          </w14:textFill>
        </w:rPr>
        <w:t>合同签订7天内</w:t>
      </w:r>
      <w:r>
        <w:rPr>
          <w:rFonts w:hint="eastAsia" w:ascii="宋体" w:hAnsi="宋体" w:cs="宋体"/>
          <w:color w:val="000000" w:themeColor="text1"/>
          <w:sz w:val="24"/>
          <w:highlight w:val="none"/>
          <w14:textFill>
            <w14:solidFill>
              <w14:schemeClr w14:val="tx1"/>
            </w14:solidFill>
          </w14:textFill>
        </w:rPr>
        <w:t>。</w:t>
      </w:r>
    </w:p>
    <w:p w14:paraId="7F72905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highlight w:val="none"/>
          <w:u w:val="single"/>
          <w14:textFill>
            <w14:solidFill>
              <w14:schemeClr w14:val="tx1"/>
            </w14:solidFill>
          </w14:textFill>
        </w:rPr>
        <w:t>罚款3000元/天</w:t>
      </w:r>
      <w:r>
        <w:rPr>
          <w:rFonts w:hint="eastAsia" w:ascii="宋体" w:hAnsi="宋体" w:cs="宋体"/>
          <w:color w:val="000000" w:themeColor="text1"/>
          <w:sz w:val="24"/>
          <w:highlight w:val="none"/>
          <w14:textFill>
            <w14:solidFill>
              <w14:schemeClr w14:val="tx1"/>
            </w14:solidFill>
          </w14:textFill>
        </w:rPr>
        <w:t>。</w:t>
      </w:r>
    </w:p>
    <w:p w14:paraId="416C779C">
      <w:pPr>
        <w:spacing w:line="360" w:lineRule="auto"/>
        <w:ind w:firstLine="48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highlight w:val="none"/>
          <w:u w:val="single"/>
          <w14:textFill>
            <w14:solidFill>
              <w14:schemeClr w14:val="tx1"/>
            </w14:solidFill>
          </w14:textFill>
        </w:rPr>
        <w:t>承包人主要施工管理人员（部门负责人及以上）需要向发包</w:t>
      </w:r>
      <w:r>
        <w:rPr>
          <w:rFonts w:hint="eastAsia" w:ascii="宋体" w:hAnsi="宋体" w:cs="宋体"/>
          <w:color w:val="000000" w:themeColor="text1"/>
          <w:sz w:val="24"/>
          <w:highlight w:val="none"/>
          <w:u w:val="single"/>
          <w:lang w:eastAsia="zh-CN"/>
          <w14:textFill>
            <w14:solidFill>
              <w14:schemeClr w14:val="tx1"/>
            </w14:solidFill>
          </w14:textFill>
        </w:rPr>
        <w:t>人提</w:t>
      </w:r>
      <w:r>
        <w:rPr>
          <w:rFonts w:hint="eastAsia" w:ascii="宋体" w:hAnsi="宋体" w:cs="宋体"/>
          <w:color w:val="000000" w:themeColor="text1"/>
          <w:sz w:val="24"/>
          <w:highlight w:val="none"/>
          <w:u w:val="single"/>
          <w14:textFill>
            <w14:solidFill>
              <w14:schemeClr w14:val="tx1"/>
            </w14:solidFill>
          </w14:textFill>
        </w:rPr>
        <w:t>交书面请假条或情况说明，得到书面批准或认可后方可离开现场。</w:t>
      </w:r>
    </w:p>
    <w:p w14:paraId="5A98EAC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highlight w:val="none"/>
          <w:u w:val="single"/>
          <w14:textFill>
            <w14:solidFill>
              <w14:schemeClr w14:val="tx1"/>
            </w14:solidFill>
          </w14:textFill>
        </w:rPr>
        <w:t>罚款30000元/人次</w:t>
      </w:r>
      <w:r>
        <w:rPr>
          <w:rFonts w:hint="eastAsia" w:ascii="宋体" w:hAnsi="宋体" w:cs="宋体"/>
          <w:color w:val="000000" w:themeColor="text1"/>
          <w:sz w:val="24"/>
          <w:highlight w:val="none"/>
          <w14:textFill>
            <w14:solidFill>
              <w14:schemeClr w14:val="tx1"/>
            </w14:solidFill>
          </w14:textFill>
        </w:rPr>
        <w:t>。</w:t>
      </w:r>
    </w:p>
    <w:p w14:paraId="05951A5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highlight w:val="none"/>
          <w:u w:val="single"/>
          <w14:textFill>
            <w14:solidFill>
              <w14:schemeClr w14:val="tx1"/>
            </w14:solidFill>
          </w14:textFill>
        </w:rPr>
        <w:t>罚款3000元/天</w:t>
      </w:r>
      <w:r>
        <w:rPr>
          <w:rFonts w:hint="eastAsia" w:ascii="宋体" w:hAnsi="宋体" w:cs="宋体"/>
          <w:color w:val="000000" w:themeColor="text1"/>
          <w:sz w:val="24"/>
          <w:highlight w:val="none"/>
          <w14:textFill>
            <w14:solidFill>
              <w14:schemeClr w14:val="tx1"/>
            </w14:solidFill>
          </w14:textFill>
        </w:rPr>
        <w:t>。</w:t>
      </w:r>
    </w:p>
    <w:p w14:paraId="11BFC024">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3.5 分包：不得分包。</w:t>
      </w:r>
    </w:p>
    <w:p w14:paraId="12248EF5">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4. 监理人：无</w:t>
      </w:r>
    </w:p>
    <w:p w14:paraId="13E285D2">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5. 工程质量</w:t>
      </w:r>
    </w:p>
    <w:p w14:paraId="1ADF87C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 质量要求</w:t>
      </w:r>
    </w:p>
    <w:p w14:paraId="4C31BD19">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特殊质量标准和要求：</w:t>
      </w:r>
      <w:r>
        <w:rPr>
          <w:rFonts w:hint="eastAsia" w:ascii="宋体" w:hAnsi="宋体" w:cs="宋体"/>
          <w:color w:val="000000" w:themeColor="text1"/>
          <w:sz w:val="24"/>
          <w:highlight w:val="none"/>
          <w:u w:val="single"/>
          <w14:textFill>
            <w14:solidFill>
              <w14:schemeClr w14:val="tx1"/>
            </w14:solidFill>
          </w14:textFill>
        </w:rPr>
        <w:t>一次性验收合格。</w:t>
      </w:r>
    </w:p>
    <w:p w14:paraId="77429D9D">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 安全文明施工与环境保护</w:t>
      </w:r>
    </w:p>
    <w:p w14:paraId="3FF5615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6.1安全文明施工</w:t>
      </w:r>
    </w:p>
    <w:p w14:paraId="332DD2CE">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6.1.1 项目安全生产的达标目标及相应事项的约定：</w:t>
      </w:r>
      <w:r>
        <w:rPr>
          <w:rFonts w:hint="eastAsia" w:ascii="宋体" w:hAnsi="宋体" w:cs="宋体"/>
          <w:bCs/>
          <w:color w:val="000000" w:themeColor="text1"/>
          <w:sz w:val="24"/>
          <w:highlight w:val="none"/>
          <w:u w:val="single"/>
          <w14:textFill>
            <w14:solidFill>
              <w14:schemeClr w14:val="tx1"/>
            </w14:solidFill>
          </w14:textFill>
        </w:rPr>
        <w:t>严格施工安全，承包方应对施工人员定期进行安全教育，进行入场安全教育，并签订《施工安全协议书》，并对身份证进行留档。施工过程中不发生人身伤亡事故和火灾事故，若因承包人原因造成安全事故，由承包人承担由此造成而发生的直接和间接经济损失。</w:t>
      </w:r>
    </w:p>
    <w:p w14:paraId="44D3E72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6.1.4 关于治安保卫的特别约定：</w:t>
      </w:r>
      <w:r>
        <w:rPr>
          <w:rFonts w:hint="eastAsia" w:ascii="宋体" w:hAnsi="宋体" w:cs="宋体"/>
          <w:color w:val="000000" w:themeColor="text1"/>
          <w:sz w:val="24"/>
          <w:highlight w:val="none"/>
          <w:u w:val="single"/>
          <w14:textFill>
            <w14:solidFill>
              <w14:schemeClr w14:val="tx1"/>
            </w14:solidFill>
          </w14:textFill>
        </w:rPr>
        <w:t xml:space="preserve">      满足发包人的要求       </w:t>
      </w:r>
      <w:r>
        <w:rPr>
          <w:rFonts w:hint="eastAsia" w:ascii="宋体" w:hAnsi="宋体" w:cs="宋体"/>
          <w:color w:val="000000" w:themeColor="text1"/>
          <w:sz w:val="24"/>
          <w:highlight w:val="none"/>
          <w14:textFill>
            <w14:solidFill>
              <w14:schemeClr w14:val="tx1"/>
            </w14:solidFill>
          </w14:textFill>
        </w:rPr>
        <w:t>。</w:t>
      </w:r>
    </w:p>
    <w:p w14:paraId="0E80DCA0">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关于编制施工场地治安管理计划的约定：</w:t>
      </w:r>
      <w:r>
        <w:rPr>
          <w:rFonts w:hint="eastAsia" w:ascii="宋体" w:hAnsi="宋体" w:cs="宋体"/>
          <w:color w:val="000000" w:themeColor="text1"/>
          <w:sz w:val="24"/>
          <w:highlight w:val="none"/>
          <w:u w:val="single"/>
          <w14:textFill>
            <w14:solidFill>
              <w14:schemeClr w14:val="tx1"/>
            </w14:solidFill>
          </w14:textFill>
        </w:rPr>
        <w:t xml:space="preserve">     满足发包人的要求      </w:t>
      </w:r>
      <w:r>
        <w:rPr>
          <w:rFonts w:hint="eastAsia" w:ascii="宋体" w:hAnsi="宋体" w:cs="宋体"/>
          <w:color w:val="000000" w:themeColor="text1"/>
          <w:sz w:val="24"/>
          <w:highlight w:val="none"/>
          <w14:textFill>
            <w14:solidFill>
              <w14:schemeClr w14:val="tx1"/>
            </w14:solidFill>
          </w14:textFill>
        </w:rPr>
        <w:t>。</w:t>
      </w:r>
    </w:p>
    <w:p w14:paraId="3BA8C812">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6.1.5 文明施工</w:t>
      </w:r>
    </w:p>
    <w:p w14:paraId="49A4B930">
      <w:pPr>
        <w:spacing w:line="360" w:lineRule="auto"/>
        <w:ind w:firstLine="480"/>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合同当事人对文明施工的要求：</w:t>
      </w:r>
      <w:r>
        <w:rPr>
          <w:rFonts w:hint="eastAsia" w:ascii="宋体" w:hAnsi="宋体" w:cs="宋体"/>
          <w:color w:val="000000" w:themeColor="text1"/>
          <w:sz w:val="24"/>
          <w:highlight w:val="none"/>
          <w:u w:val="single"/>
          <w14:textFill>
            <w14:solidFill>
              <w14:schemeClr w14:val="tx1"/>
            </w14:solidFill>
          </w14:textFill>
        </w:rPr>
        <w:t xml:space="preserve">  按照工程所在地建设主管部门的要求执行。</w:t>
      </w:r>
    </w:p>
    <w:p w14:paraId="41E7F44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为加强安全文明施工的管理，</w:t>
      </w:r>
      <w:r>
        <w:rPr>
          <w:rFonts w:hint="eastAsia" w:ascii="宋体" w:hAnsi="宋体" w:cs="宋体"/>
          <w:color w:val="000000" w:themeColor="text1"/>
          <w:sz w:val="24"/>
          <w:highlight w:val="none"/>
          <w:u w:val="single"/>
          <w:lang w:val="en-US" w:eastAsia="zh-CN"/>
          <w14:textFill>
            <w14:solidFill>
              <w14:schemeClr w14:val="tx1"/>
            </w14:solidFill>
          </w14:textFill>
        </w:rPr>
        <w:t>发包人</w:t>
      </w:r>
      <w:r>
        <w:rPr>
          <w:rFonts w:hint="eastAsia" w:ascii="宋体" w:hAnsi="宋体" w:cs="宋体"/>
          <w:color w:val="000000" w:themeColor="text1"/>
          <w:sz w:val="24"/>
          <w:highlight w:val="none"/>
          <w:u w:val="single"/>
          <w14:textFill>
            <w14:solidFill>
              <w14:schemeClr w14:val="tx1"/>
            </w14:solidFill>
          </w14:textFill>
        </w:rPr>
        <w:t>会就相关内容进行考核评分（百分制），每个季度均会进行考核，项目结算时费用与考评得分挂钩，高于95分不扣工程费用；扣满5分后，每扣一分，扣款200元；扣满10分后，每扣一分，扣款500元。施工中，出现人员伤（重伤）亡的安全事故，</w:t>
      </w:r>
      <w:r>
        <w:rPr>
          <w:rFonts w:hint="eastAsia" w:ascii="宋体" w:hAnsi="宋体" w:cs="宋体"/>
          <w:color w:val="000000" w:themeColor="text1"/>
          <w:sz w:val="24"/>
          <w:highlight w:val="none"/>
          <w:u w:val="single"/>
          <w:lang w:val="en-US" w:eastAsia="zh-CN"/>
          <w14:textFill>
            <w14:solidFill>
              <w14:schemeClr w14:val="tx1"/>
            </w14:solidFill>
          </w14:textFill>
        </w:rPr>
        <w:t>发包</w:t>
      </w:r>
      <w:r>
        <w:rPr>
          <w:rFonts w:hint="eastAsia" w:ascii="宋体" w:hAnsi="宋体" w:cs="宋体"/>
          <w:color w:val="000000" w:themeColor="text1"/>
          <w:sz w:val="24"/>
          <w:highlight w:val="none"/>
          <w:u w:val="single"/>
          <w14:textFill>
            <w14:solidFill>
              <w14:schemeClr w14:val="tx1"/>
            </w14:solidFill>
          </w14:textFill>
        </w:rPr>
        <w:t>人</w:t>
      </w:r>
      <w:r>
        <w:rPr>
          <w:rFonts w:hint="eastAsia" w:ascii="宋体" w:hAnsi="宋体" w:cs="宋体"/>
          <w:color w:val="000000" w:themeColor="text1"/>
          <w:sz w:val="24"/>
          <w:highlight w:val="none"/>
          <w:u w:val="single"/>
          <w:lang w:val="en-US" w:eastAsia="zh-CN"/>
          <w14:textFill>
            <w14:solidFill>
              <w14:schemeClr w14:val="tx1"/>
            </w14:solidFill>
          </w14:textFill>
        </w:rPr>
        <w:t>有权</w:t>
      </w:r>
      <w:r>
        <w:rPr>
          <w:rFonts w:hint="eastAsia" w:ascii="宋体" w:hAnsi="宋体" w:cs="宋体"/>
          <w:color w:val="000000" w:themeColor="text1"/>
          <w:sz w:val="24"/>
          <w:highlight w:val="none"/>
          <w:u w:val="single"/>
          <w14:textFill>
            <w14:solidFill>
              <w14:schemeClr w14:val="tx1"/>
            </w14:solidFill>
          </w14:textFill>
        </w:rPr>
        <w:t>立即终止合同。</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文明施工考核表</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及安全施工考核表见附件。</w:t>
      </w:r>
      <w:r>
        <w:rPr>
          <w:rFonts w:hint="eastAsia" w:ascii="宋体" w:hAnsi="宋体" w:cs="宋体"/>
          <w:color w:val="000000" w:themeColor="text1"/>
          <w:sz w:val="24"/>
          <w:highlight w:val="none"/>
          <w:u w:val="single"/>
          <w14:textFill>
            <w14:solidFill>
              <w14:schemeClr w14:val="tx1"/>
            </w14:solidFill>
          </w14:textFill>
        </w:rPr>
        <w:t xml:space="preserve">   </w:t>
      </w:r>
    </w:p>
    <w:p w14:paraId="59B2D81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 工期和进度</w:t>
      </w:r>
    </w:p>
    <w:p w14:paraId="2E6DEF2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7.1 施工组织设计</w:t>
      </w:r>
    </w:p>
    <w:p w14:paraId="1D6816B9">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7.1.1 合同当事人约定的施工组织设计应包括的其他内容：</w:t>
      </w:r>
      <w:r>
        <w:rPr>
          <w:rFonts w:hint="eastAsia" w:ascii="宋体" w:hAnsi="宋体" w:cs="宋体"/>
          <w:color w:val="000000" w:themeColor="text1"/>
          <w:sz w:val="24"/>
          <w:highlight w:val="none"/>
          <w:u w:val="single"/>
          <w14:textFill>
            <w14:solidFill>
              <w14:schemeClr w14:val="tx1"/>
            </w14:solidFill>
          </w14:textFill>
        </w:rPr>
        <w:t xml:space="preserve">    /  。</w:t>
      </w:r>
    </w:p>
    <w:p w14:paraId="693F94A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7.2 施工进度计划</w:t>
      </w:r>
    </w:p>
    <w:p w14:paraId="5FD8C13E">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7.2.2 施工进度计划的修订</w:t>
      </w:r>
    </w:p>
    <w:p w14:paraId="1A46E6DC">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发包人在收到修订的施工进度计划后确认或提出修改意见的期限：</w:t>
      </w:r>
      <w:r>
        <w:rPr>
          <w:rFonts w:hint="eastAsia" w:ascii="宋体" w:hAnsi="宋体" w:cs="宋体"/>
          <w:color w:val="000000" w:themeColor="text1"/>
          <w:sz w:val="24"/>
          <w:highlight w:val="none"/>
          <w:u w:val="single"/>
          <w14:textFill>
            <w14:solidFill>
              <w14:schemeClr w14:val="tx1"/>
            </w14:solidFill>
          </w14:textFill>
        </w:rPr>
        <w:t>为承包人提交后15天。</w:t>
      </w:r>
    </w:p>
    <w:p w14:paraId="5F75B13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7.3 因发包人原因导致工期延误</w:t>
      </w:r>
    </w:p>
    <w:p w14:paraId="0415BDAA">
      <w:pPr>
        <w:spacing w:line="360" w:lineRule="auto"/>
        <w:ind w:firstLine="36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（7）因发包人原因导致工期延误的其他情形：</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202D0ECC">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7.3因承包人原因导致工期延误</w:t>
      </w:r>
    </w:p>
    <w:p w14:paraId="4C210EF3">
      <w:pPr>
        <w:spacing w:line="360" w:lineRule="auto"/>
        <w:ind w:firstLine="480"/>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highlight w:val="none"/>
          <w:u w:val="single"/>
          <w14:textFill>
            <w14:solidFill>
              <w14:schemeClr w14:val="tx1"/>
            </w14:solidFill>
          </w14:textFill>
        </w:rPr>
        <w:t>1000元/天  。</w:t>
      </w:r>
    </w:p>
    <w:p w14:paraId="410FB0F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3A7CF1E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 材料与设备</w:t>
      </w:r>
    </w:p>
    <w:p w14:paraId="30A6A12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8.4材料与工程设备的保管与使用</w:t>
      </w:r>
    </w:p>
    <w:p w14:paraId="729B04E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highlight w:val="none"/>
          <w:u w:val="single"/>
          <w14:textFill>
            <w14:solidFill>
              <w14:schemeClr w14:val="tx1"/>
            </w14:solidFill>
          </w14:textFill>
        </w:rPr>
        <w:t xml:space="preserve"> 已进场的</w:t>
      </w:r>
      <w:r>
        <w:rPr>
          <w:rFonts w:hint="eastAsia" w:ascii="宋体" w:hAnsi="宋体" w:cs="宋体"/>
          <w:bCs/>
          <w:color w:val="000000" w:themeColor="text1"/>
          <w:sz w:val="24"/>
          <w:highlight w:val="none"/>
          <w:u w:val="single"/>
          <w14:textFill>
            <w14:solidFill>
              <w14:schemeClr w14:val="tx1"/>
            </w14:solidFill>
          </w14:textFill>
        </w:rPr>
        <w:t xml:space="preserve">由承包人承担 </w:t>
      </w:r>
    </w:p>
    <w:p w14:paraId="21FC59D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8.6 样品</w:t>
      </w:r>
    </w:p>
    <w:p w14:paraId="6E9AAD9C">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8.6.1</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样品的报送与封存</w:t>
      </w:r>
    </w:p>
    <w:p w14:paraId="698EF51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highlight w:val="none"/>
          <w:u w:val="single"/>
          <w14:textFill>
            <w14:solidFill>
              <w14:schemeClr w14:val="tx1"/>
            </w14:solidFill>
          </w14:textFill>
        </w:rPr>
        <w:t>按发包人的要求</w:t>
      </w:r>
      <w:r>
        <w:rPr>
          <w:rFonts w:hint="eastAsia" w:ascii="宋体" w:hAnsi="宋体" w:cs="宋体"/>
          <w:color w:val="000000" w:themeColor="text1"/>
          <w:sz w:val="24"/>
          <w:highlight w:val="none"/>
          <w14:textFill>
            <w14:solidFill>
              <w14:schemeClr w14:val="tx1"/>
            </w14:solidFill>
          </w14:textFill>
        </w:rPr>
        <w:t>。</w:t>
      </w:r>
    </w:p>
    <w:p w14:paraId="322745E1">
      <w:pPr>
        <w:pStyle w:val="221"/>
        <w:spacing w:before="0" w:after="0" w:line="360" w:lineRule="auto"/>
        <w:jc w:val="left"/>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lang w:val="en-US" w:eastAsia="zh-CN"/>
          <w14:textFill>
            <w14:solidFill>
              <w14:schemeClr w14:val="tx1"/>
            </w14:solidFill>
          </w14:textFill>
        </w:rPr>
        <w:t>9</w:t>
      </w:r>
      <w:r>
        <w:rPr>
          <w:rFonts w:hint="eastAsia" w:ascii="宋体" w:hAnsi="宋体" w:eastAsia="宋体" w:cs="宋体"/>
          <w:b w:val="0"/>
          <w:color w:val="000000" w:themeColor="text1"/>
          <w:sz w:val="24"/>
          <w:highlight w:val="none"/>
          <w14:textFill>
            <w14:solidFill>
              <w14:schemeClr w14:val="tx1"/>
            </w14:solidFill>
          </w14:textFill>
        </w:rPr>
        <w:t>. 合同价格、计量与支付</w:t>
      </w:r>
    </w:p>
    <w:p w14:paraId="1495A0D4">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.1 合同价格形式</w:t>
      </w:r>
    </w:p>
    <w:p w14:paraId="4520A810">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单价合同（按实结算）。</w:t>
      </w:r>
    </w:p>
    <w:p w14:paraId="0C11EFFB">
      <w:pPr>
        <w:tabs>
          <w:tab w:val="left" w:pos="9000"/>
        </w:tabs>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.2合同价款的调整方法：</w:t>
      </w:r>
    </w:p>
    <w:p w14:paraId="74C3D053">
      <w:pPr>
        <w:tabs>
          <w:tab w:val="left" w:pos="9000"/>
        </w:tabs>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.2.1供应商日常项目报价：</w:t>
      </w:r>
    </w:p>
    <w:p w14:paraId="386A0A90">
      <w:pPr>
        <w:tabs>
          <w:tab w:val="left" w:pos="9000"/>
        </w:tabs>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按照《GB50500-2013 建设工程工程量清单计价规范》要求，参考“分部分项工程量清单与计价表”形式上报，按规范列明项目的分部分项项目编码、项目名称、项目特征、计量单位、工程量、综合单价。综合单价的价格组价定额依据为《江苏省建筑与装饰工程计价表2014版</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江苏省安装工程计价表2014版</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江苏省建筑工程费用定额》及无锡地区的配套规定的定额（例如前述规范中没有的项目也可参考江苏省房屋修缮工程计价表2009）等，消耗量严格按照《江苏省建筑与装饰工程计价表2014版</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江苏省安装工程计价表2014版</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江苏省建筑工程费用定额》及无锡地区的配套规定的定额数量计算，费用标准按照《江苏省建筑工程费用定额》最新版确定。综合单价组价格式可参考《GB50500-2013 建设工程工程量清单计价规范》中“工程量清单综合单价分析表”表单格式，相关台账材料供应商自身留存，视审计单位需要备查。项目报价在立项审批前及竣工完成后须经医院零星改造项目工程造价第三方审计单位审核确认，竣工结算总价按中标让利系数让利：最终工程结算造价=经采购人委托的咨询公司审核后的工程结算造价（包含人工、材料、机械等所有费用）*</w:t>
      </w:r>
      <w:r>
        <w:rPr>
          <w:rFonts w:hint="eastAsia" w:ascii="宋体" w:hAnsi="宋体" w:cs="宋体"/>
          <w:color w:val="000000" w:themeColor="text1"/>
          <w:sz w:val="24"/>
          <w:highlight w:val="none"/>
          <w:u w:val="single"/>
          <w:lang w:eastAsia="zh-CN"/>
          <w14:textFill>
            <w14:solidFill>
              <w14:schemeClr w14:val="tx1"/>
            </w14:solidFill>
          </w14:textFill>
        </w:rPr>
        <w:t>（1-优惠率）</w:t>
      </w:r>
      <w:r>
        <w:rPr>
          <w:rFonts w:hint="eastAsia" w:ascii="宋体" w:hAnsi="宋体" w:cs="宋体"/>
          <w:color w:val="000000" w:themeColor="text1"/>
          <w:sz w:val="24"/>
          <w:highlight w:val="none"/>
          <w:u w:val="single"/>
          <w14:textFill>
            <w14:solidFill>
              <w14:schemeClr w14:val="tx1"/>
            </w14:solidFill>
          </w14:textFill>
        </w:rPr>
        <w:t>。</w:t>
      </w:r>
    </w:p>
    <w:p w14:paraId="79E744E7">
      <w:pPr>
        <w:tabs>
          <w:tab w:val="left" w:pos="9000"/>
        </w:tabs>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.2.2</w:t>
      </w:r>
      <w:r>
        <w:rPr>
          <w:rFonts w:hint="eastAsia" w:ascii="宋体" w:hAnsi="宋体" w:cs="宋体"/>
          <w:color w:val="000000" w:themeColor="text1"/>
          <w:sz w:val="24"/>
          <w:highlight w:val="none"/>
          <w:u w:val="single"/>
          <w:lang w:eastAsia="zh-CN"/>
          <w14:textFill>
            <w14:solidFill>
              <w14:schemeClr w14:val="tx1"/>
            </w14:solidFill>
          </w14:textFill>
        </w:rPr>
        <w:t>承包人</w:t>
      </w:r>
      <w:r>
        <w:rPr>
          <w:rFonts w:hint="eastAsia" w:ascii="宋体" w:hAnsi="宋体" w:cs="宋体"/>
          <w:color w:val="000000" w:themeColor="text1"/>
          <w:sz w:val="24"/>
          <w:highlight w:val="none"/>
          <w:u w:val="single"/>
          <w14:textFill>
            <w14:solidFill>
              <w14:schemeClr w14:val="tx1"/>
            </w14:solidFill>
          </w14:textFill>
        </w:rPr>
        <w:t>承担的具体工程项目施工任务，根据采购人工程性质和特点，报价的计价方法按下列规则计算：</w:t>
      </w:r>
    </w:p>
    <w:p w14:paraId="13F70C2E">
      <w:pPr>
        <w:tabs>
          <w:tab w:val="left" w:pos="9000"/>
        </w:tabs>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.2.2.1若有图纸，应按照图纸施工，报价应包括施工设备、劳务、管理、材料、安装、维护、利润、税金等所有费用。</w:t>
      </w:r>
    </w:p>
    <w:p w14:paraId="6F80DBBB">
      <w:pPr>
        <w:tabs>
          <w:tab w:val="left" w:pos="9000"/>
        </w:tabs>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2.2.2人工费单价：人工费单价统一按照江苏省住房城乡建设厅发布的《江苏省建设工程人工工资指导价（2023年9月1日）》中无锡市点工价格标准计算，若本文件有更新，按最新版调整。机械台班、材料价格按照报价同期无锡市造价管理部门公布的信息价（没有信息价的按市场价或承、发包双方共同看样定货定价）。</w:t>
      </w:r>
    </w:p>
    <w:p w14:paraId="2625CFEB">
      <w:pPr>
        <w:tabs>
          <w:tab w:val="left" w:pos="9000"/>
        </w:tabs>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.2.2.3措施</w:t>
      </w:r>
      <w:r>
        <w:rPr>
          <w:rFonts w:hint="eastAsia" w:ascii="宋体" w:hAnsi="宋体" w:cs="宋体"/>
          <w:color w:val="000000" w:themeColor="text1"/>
          <w:sz w:val="24"/>
          <w:highlight w:val="none"/>
          <w:u w:val="single"/>
          <w:lang w:eastAsia="zh-CN"/>
          <w14:textFill>
            <w14:solidFill>
              <w14:schemeClr w14:val="tx1"/>
            </w14:solidFill>
          </w14:textFill>
        </w:rPr>
        <w:t>费用</w:t>
      </w:r>
      <w:r>
        <w:rPr>
          <w:rFonts w:hint="eastAsia" w:ascii="宋体" w:hAnsi="宋体" w:cs="宋体"/>
          <w:color w:val="000000" w:themeColor="text1"/>
          <w:sz w:val="24"/>
          <w:highlight w:val="none"/>
          <w:u w:val="single"/>
          <w14:textFill>
            <w14:solidFill>
              <w14:schemeClr w14:val="tx1"/>
            </w14:solidFill>
          </w14:textFill>
        </w:rPr>
        <w:t>和不可竞争费用：按照《江苏省建筑工程费用定额》最新版确定。</w:t>
      </w:r>
    </w:p>
    <w:p w14:paraId="49719DD8">
      <w:pPr>
        <w:spacing w:line="360" w:lineRule="auto"/>
        <w:ind w:firstLine="40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.3 审计费用承担</w:t>
      </w:r>
    </w:p>
    <w:p w14:paraId="42D6FD78">
      <w:pPr>
        <w:spacing w:line="360" w:lineRule="auto"/>
        <w:ind w:firstLine="403"/>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工程竣工后，发包人组织审计，审计结果作为结算依据。承包方提供的结算核减额在5%以内（含5%）审计</w:t>
      </w:r>
      <w:r>
        <w:rPr>
          <w:rFonts w:hint="eastAsia" w:ascii="宋体" w:hAnsi="宋体" w:cs="宋体"/>
          <w:color w:val="000000" w:themeColor="text1"/>
          <w:sz w:val="24"/>
          <w:highlight w:val="none"/>
          <w:u w:val="single"/>
          <w:lang w:eastAsia="zh-CN"/>
          <w14:textFill>
            <w14:solidFill>
              <w14:schemeClr w14:val="tx1"/>
            </w14:solidFill>
          </w14:textFill>
        </w:rPr>
        <w:t>费用</w:t>
      </w:r>
      <w:r>
        <w:rPr>
          <w:rFonts w:hint="eastAsia" w:ascii="宋体" w:hAnsi="宋体" w:cs="宋体"/>
          <w:color w:val="000000" w:themeColor="text1"/>
          <w:sz w:val="24"/>
          <w:highlight w:val="none"/>
          <w:u w:val="single"/>
          <w14:textFill>
            <w14:solidFill>
              <w14:schemeClr w14:val="tx1"/>
            </w14:solidFill>
          </w14:textFill>
        </w:rPr>
        <w:t>由发包人承担，核减额超过5%时审计费用全部由承包方承担。</w:t>
      </w:r>
    </w:p>
    <w:p w14:paraId="32600AF9">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.4 计量</w:t>
      </w:r>
    </w:p>
    <w:p w14:paraId="0B278DE6">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.4.1 计量原则</w:t>
      </w:r>
    </w:p>
    <w:p w14:paraId="22ACD210">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工程量计算规则：</w:t>
      </w:r>
      <w:r>
        <w:rPr>
          <w:rFonts w:hint="eastAsia" w:ascii="宋体" w:hAnsi="宋体" w:cs="宋体"/>
          <w:color w:val="000000" w:themeColor="text1"/>
          <w:sz w:val="24"/>
          <w:highlight w:val="none"/>
          <w:u w:val="single"/>
          <w14:textFill>
            <w14:solidFill>
              <w14:schemeClr w14:val="tx1"/>
            </w14:solidFill>
          </w14:textFill>
        </w:rPr>
        <w:t>应以相关的国家标准、行业标准等为依据</w:t>
      </w:r>
      <w:r>
        <w:rPr>
          <w:rFonts w:hint="eastAsia" w:ascii="宋体" w:hAnsi="宋体" w:cs="宋体"/>
          <w:color w:val="000000" w:themeColor="text1"/>
          <w:sz w:val="24"/>
          <w:highlight w:val="none"/>
          <w14:textFill>
            <w14:solidFill>
              <w14:schemeClr w14:val="tx1"/>
            </w14:solidFill>
          </w14:textFill>
        </w:rPr>
        <w:t>。</w:t>
      </w:r>
    </w:p>
    <w:p w14:paraId="36037241">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.4.2 计量周期</w:t>
      </w:r>
    </w:p>
    <w:p w14:paraId="260E28C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关于计量周期的约定：</w:t>
      </w:r>
      <w:r>
        <w:rPr>
          <w:rFonts w:hint="eastAsia" w:ascii="宋体" w:hAnsi="宋体" w:cs="宋体"/>
          <w:color w:val="000000" w:themeColor="text1"/>
          <w:sz w:val="24"/>
          <w:highlight w:val="none"/>
          <w:u w:val="single"/>
          <w14:textFill>
            <w14:solidFill>
              <w14:schemeClr w14:val="tx1"/>
            </w14:solidFill>
          </w14:textFill>
        </w:rPr>
        <w:t>按季度进行</w:t>
      </w:r>
      <w:r>
        <w:rPr>
          <w:rFonts w:hint="eastAsia" w:ascii="宋体" w:hAnsi="宋体" w:cs="宋体"/>
          <w:color w:val="000000" w:themeColor="text1"/>
          <w:sz w:val="24"/>
          <w:highlight w:val="none"/>
          <w14:textFill>
            <w14:solidFill>
              <w14:schemeClr w14:val="tx1"/>
            </w14:solidFill>
          </w14:textFill>
        </w:rPr>
        <w:t>。</w:t>
      </w:r>
    </w:p>
    <w:p w14:paraId="67EDDA8B">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.5 工程进度款支付</w:t>
      </w:r>
    </w:p>
    <w:p w14:paraId="2D6FBAF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.5.1 付款周期</w:t>
      </w:r>
    </w:p>
    <w:p w14:paraId="09ED7C0D">
      <w:pPr>
        <w:spacing w:line="360" w:lineRule="auto"/>
        <w:ind w:firstLine="48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本工程无预付款。工程验收合格审定后付至结算价的97%工程款，余款一年后一次性付清（不计利息）。每季度支付一次工程款</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每季度结束后的28天内，提交该季度结算资料，经审计后，承包人开具发票（结算价为审核后的工程结算造价*</w:t>
      </w:r>
      <w:r>
        <w:rPr>
          <w:rFonts w:hint="eastAsia"/>
          <w:color w:val="000000" w:themeColor="text1"/>
          <w:sz w:val="24"/>
          <w:highlight w:val="none"/>
          <w:lang w:eastAsia="zh-CN"/>
          <w14:textFill>
            <w14:solidFill>
              <w14:schemeClr w14:val="tx1"/>
            </w14:solidFill>
          </w14:textFill>
        </w:rPr>
        <w:t>（1-优惠率）</w:t>
      </w:r>
      <w:r>
        <w:rPr>
          <w:rFonts w:hint="eastAsia"/>
          <w:color w:val="000000" w:themeColor="text1"/>
          <w:sz w:val="24"/>
          <w:highlight w:val="none"/>
          <w14:textFill>
            <w14:solidFill>
              <w14:schemeClr w14:val="tx1"/>
            </w14:solidFill>
          </w14:textFill>
        </w:rPr>
        <w:t>），发包人自收到发票后的2个月内支付。包工包料，所有材料均符合国家环保要求；最终结算价为审核后的工程结算造价*</w:t>
      </w:r>
      <w:r>
        <w:rPr>
          <w:rFonts w:hint="eastAsia"/>
          <w:color w:val="000000" w:themeColor="text1"/>
          <w:sz w:val="24"/>
          <w:highlight w:val="none"/>
          <w:lang w:eastAsia="zh-CN"/>
          <w14:textFill>
            <w14:solidFill>
              <w14:schemeClr w14:val="tx1"/>
            </w14:solidFill>
          </w14:textFill>
        </w:rPr>
        <w:t>（1-优惠率）</w:t>
      </w:r>
      <w:r>
        <w:rPr>
          <w:rFonts w:hint="eastAsia"/>
          <w:color w:val="000000" w:themeColor="text1"/>
          <w:sz w:val="24"/>
          <w:highlight w:val="none"/>
          <w14:textFill>
            <w14:solidFill>
              <w14:schemeClr w14:val="tx1"/>
            </w14:solidFill>
          </w14:textFill>
        </w:rPr>
        <w:t>。</w:t>
      </w:r>
    </w:p>
    <w:p w14:paraId="1A086D26">
      <w:pPr>
        <w:spacing w:line="360" w:lineRule="auto"/>
        <w:ind w:firstLine="48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工程因规划原因遭到破坏前必须提请审计部门现场跟踪审计确认，否则甲方不予结算。</w:t>
      </w:r>
    </w:p>
    <w:p w14:paraId="089C6573">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.5.2 进度付款申请单的编制</w:t>
      </w:r>
    </w:p>
    <w:p w14:paraId="4BD4230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关于进度付款申请单编制的约定：</w:t>
      </w:r>
      <w:r>
        <w:rPr>
          <w:rFonts w:hint="eastAsia" w:ascii="宋体" w:hAnsi="宋体" w:cs="宋体"/>
          <w:color w:val="000000" w:themeColor="text1"/>
          <w:sz w:val="24"/>
          <w:highlight w:val="none"/>
          <w:u w:val="single"/>
          <w14:textFill>
            <w14:solidFill>
              <w14:schemeClr w14:val="tx1"/>
            </w14:solidFill>
          </w14:textFill>
        </w:rPr>
        <w:t xml:space="preserve">      按发包人要求              </w:t>
      </w:r>
      <w:r>
        <w:rPr>
          <w:rFonts w:hint="eastAsia" w:ascii="宋体" w:hAnsi="宋体" w:cs="宋体"/>
          <w:color w:val="000000" w:themeColor="text1"/>
          <w:sz w:val="24"/>
          <w:highlight w:val="none"/>
          <w14:textFill>
            <w14:solidFill>
              <w14:schemeClr w14:val="tx1"/>
            </w14:solidFill>
          </w14:textFill>
        </w:rPr>
        <w:t>。</w:t>
      </w:r>
    </w:p>
    <w:p w14:paraId="57E2261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.5.3 进度付款申请单的提交</w:t>
      </w:r>
    </w:p>
    <w:p w14:paraId="0AE27D8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（1）单价合同进度付款申请单提交的约定：</w:t>
      </w:r>
      <w:r>
        <w:rPr>
          <w:rFonts w:hint="eastAsia" w:ascii="宋体" w:hAnsi="宋体" w:cs="宋体"/>
          <w:color w:val="000000" w:themeColor="text1"/>
          <w:sz w:val="24"/>
          <w:highlight w:val="none"/>
          <w:u w:val="single"/>
          <w14:textFill>
            <w14:solidFill>
              <w14:schemeClr w14:val="tx1"/>
            </w14:solidFill>
          </w14:textFill>
        </w:rPr>
        <w:t xml:space="preserve">  按发包人要求    </w:t>
      </w:r>
      <w:r>
        <w:rPr>
          <w:rFonts w:hint="eastAsia" w:ascii="宋体" w:hAnsi="宋体" w:cs="宋体"/>
          <w:color w:val="000000" w:themeColor="text1"/>
          <w:sz w:val="24"/>
          <w:highlight w:val="none"/>
          <w14:textFill>
            <w14:solidFill>
              <w14:schemeClr w14:val="tx1"/>
            </w14:solidFill>
          </w14:textFill>
        </w:rPr>
        <w:t>。</w:t>
      </w:r>
    </w:p>
    <w:p w14:paraId="429D35C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（2）总价合同进度付款申请单提交的约定：</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04C1A6C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35405CDE">
      <w:pPr>
        <w:pStyle w:val="221"/>
        <w:spacing w:line="360" w:lineRule="auto"/>
        <w:jc w:val="lef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0</w:t>
      </w:r>
      <w:r>
        <w:rPr>
          <w:rFonts w:hint="eastAsia" w:ascii="宋体" w:hAnsi="宋体" w:eastAsia="宋体" w:cs="宋体"/>
          <w:b w:val="0"/>
          <w:bCs w:val="0"/>
          <w:color w:val="000000" w:themeColor="text1"/>
          <w:sz w:val="24"/>
          <w:highlight w:val="none"/>
          <w14:textFill>
            <w14:solidFill>
              <w14:schemeClr w14:val="tx1"/>
            </w14:solidFill>
          </w14:textFill>
        </w:rPr>
        <w:t>. 验收和工程试车</w:t>
      </w:r>
    </w:p>
    <w:p w14:paraId="77444A43">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.1 分部分项工程验收</w:t>
      </w:r>
    </w:p>
    <w:p w14:paraId="1E7CD44F">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.2 竣工验收</w:t>
      </w:r>
    </w:p>
    <w:p w14:paraId="5A14577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 xml:space="preserve">竣工验收程序 </w:t>
      </w:r>
    </w:p>
    <w:p w14:paraId="1313183C">
      <w:pPr>
        <w:adjustRightInd w:val="0"/>
        <w:snapToGrid w:val="0"/>
        <w:spacing w:line="360" w:lineRule="auto"/>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关于竣工验收程序的约定：</w:t>
      </w:r>
      <w:r>
        <w:rPr>
          <w:rFonts w:hint="eastAsia" w:ascii="宋体" w:hAnsi="宋体" w:cs="宋体"/>
          <w:color w:val="000000" w:themeColor="text1"/>
          <w:sz w:val="24"/>
          <w:highlight w:val="none"/>
          <w:u w:val="single"/>
          <w14:textFill>
            <w14:solidFill>
              <w14:schemeClr w14:val="tx1"/>
            </w14:solidFill>
          </w14:textFill>
        </w:rPr>
        <w:t>发包人在承包人提交了竣工报告和竣工资料、无锡建筑工程预验收表等相关资料后，会同相关部门组织竣工验收，只有通过竣工验收，承包人的竣工报告才被认可。</w:t>
      </w:r>
    </w:p>
    <w:p w14:paraId="0E6A1D39">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48CBBEA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移交、接收全部与部分工程</w:t>
      </w:r>
    </w:p>
    <w:p w14:paraId="5C68D752">
      <w:pPr>
        <w:spacing w:line="360" w:lineRule="auto"/>
        <w:ind w:firstLine="480"/>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承包人向发包人移交工程的期限：</w:t>
      </w:r>
      <w:r>
        <w:rPr>
          <w:rFonts w:hint="eastAsia" w:ascii="宋体" w:hAnsi="宋体" w:cs="宋体"/>
          <w:color w:val="000000" w:themeColor="text1"/>
          <w:sz w:val="24"/>
          <w:highlight w:val="none"/>
          <w:u w:val="single"/>
          <w14:textFill>
            <w14:solidFill>
              <w14:schemeClr w14:val="tx1"/>
            </w14:solidFill>
          </w14:textFill>
        </w:rPr>
        <w:t>竣工验收通过后30天内。</w:t>
      </w:r>
    </w:p>
    <w:p w14:paraId="73705E7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highlight w:val="none"/>
          <w:u w:val="single"/>
          <w14:textFill>
            <w14:solidFill>
              <w14:schemeClr w14:val="tx1"/>
            </w14:solidFill>
          </w14:textFill>
        </w:rPr>
        <w:t xml:space="preserve">合同价的5%  </w:t>
      </w:r>
      <w:r>
        <w:rPr>
          <w:rFonts w:hint="eastAsia" w:ascii="宋体" w:hAnsi="宋体" w:cs="宋体"/>
          <w:color w:val="000000" w:themeColor="text1"/>
          <w:sz w:val="24"/>
          <w:highlight w:val="none"/>
          <w14:textFill>
            <w14:solidFill>
              <w14:schemeClr w14:val="tx1"/>
            </w14:solidFill>
          </w14:textFill>
        </w:rPr>
        <w:t>。</w:t>
      </w:r>
    </w:p>
    <w:p w14:paraId="14F11030">
      <w:pPr>
        <w:pStyle w:val="221"/>
        <w:spacing w:before="0" w:after="0" w:line="360" w:lineRule="auto"/>
        <w:contextualSpacing/>
        <w:jc w:val="lef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color w:val="000000" w:themeColor="text1"/>
          <w:sz w:val="24"/>
          <w:szCs w:val="24"/>
          <w:highlight w:val="none"/>
          <w14:textFill>
            <w14:solidFill>
              <w14:schemeClr w14:val="tx1"/>
            </w14:solidFill>
          </w14:textFill>
        </w:rPr>
        <w:t>. 竣工结算</w:t>
      </w:r>
    </w:p>
    <w:p w14:paraId="1EEC4972">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.1 竣工付款申请</w:t>
      </w:r>
    </w:p>
    <w:p w14:paraId="0A987F70">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承包人提交竣工付款申请单的期限：</w:t>
      </w:r>
      <w:r>
        <w:rPr>
          <w:rFonts w:hint="eastAsia" w:ascii="宋体" w:hAnsi="宋体" w:cs="宋体"/>
          <w:color w:val="000000" w:themeColor="text1"/>
          <w:sz w:val="24"/>
          <w:highlight w:val="none"/>
          <w:u w:val="single"/>
          <w14:textFill>
            <w14:solidFill>
              <w14:schemeClr w14:val="tx1"/>
            </w14:solidFill>
          </w14:textFill>
        </w:rPr>
        <w:t xml:space="preserve"> 每季度结束后的28天内，提交该季度结算资料经医院零星改造项目工程造价第三方审计单位审核确认后，承包人根据审核后的工程结算造价*</w:t>
      </w:r>
      <w:r>
        <w:rPr>
          <w:rFonts w:hint="eastAsia" w:ascii="宋体" w:hAnsi="宋体" w:cs="宋体"/>
          <w:color w:val="000000" w:themeColor="text1"/>
          <w:sz w:val="24"/>
          <w:highlight w:val="none"/>
          <w:u w:val="single"/>
          <w:lang w:eastAsia="zh-CN"/>
          <w14:textFill>
            <w14:solidFill>
              <w14:schemeClr w14:val="tx1"/>
            </w14:solidFill>
          </w14:textFill>
        </w:rPr>
        <w:t>（1-优惠率）</w:t>
      </w:r>
      <w:r>
        <w:rPr>
          <w:rFonts w:hint="eastAsia" w:ascii="宋体" w:hAnsi="宋体" w:cs="宋体"/>
          <w:color w:val="000000" w:themeColor="text1"/>
          <w:sz w:val="24"/>
          <w:highlight w:val="none"/>
          <w:u w:val="single"/>
          <w14:textFill>
            <w14:solidFill>
              <w14:schemeClr w14:val="tx1"/>
            </w14:solidFill>
          </w14:textFill>
        </w:rPr>
        <w:t>为准提交付款申请。</w:t>
      </w:r>
    </w:p>
    <w:p w14:paraId="18AC915C">
      <w:pPr>
        <w:spacing w:line="360" w:lineRule="auto"/>
        <w:ind w:firstLine="480"/>
        <w:contextualSpacing/>
        <w:jc w:val="left"/>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竣工付款申请单应包括的内容：</w:t>
      </w:r>
      <w:r>
        <w:rPr>
          <w:rFonts w:hint="eastAsia" w:ascii="宋体" w:hAnsi="宋体" w:cs="宋体"/>
          <w:color w:val="000000" w:themeColor="text1"/>
          <w:sz w:val="24"/>
          <w:highlight w:val="none"/>
          <w:u w:val="single"/>
          <w14:textFill>
            <w14:solidFill>
              <w14:schemeClr w14:val="tx1"/>
            </w14:solidFill>
          </w14:textFill>
        </w:rPr>
        <w:t xml:space="preserve">   其中包括按发包人要求提供的完整结算资料，如承包人提供的结算资料未能满足要求，发包人有权退还竣工付款申请单或要求承包人补充资料，直至满足发包人结算资料要求，其产生的时间延误则发包人审批竣工付款申请单的期限相应顺延。</w:t>
      </w:r>
    </w:p>
    <w:p w14:paraId="7DEE2E06">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.2 竣工结算审核</w:t>
      </w:r>
    </w:p>
    <w:p w14:paraId="744EA7F2">
      <w:pPr>
        <w:spacing w:line="360" w:lineRule="auto"/>
        <w:ind w:firstLine="480"/>
        <w:contextualSpacing/>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发包人审批竣工付款申请单的期限：</w:t>
      </w:r>
      <w:r>
        <w:rPr>
          <w:rFonts w:hint="eastAsia" w:ascii="宋体" w:hAnsi="宋体" w:cs="宋体"/>
          <w:color w:val="000000" w:themeColor="text1"/>
          <w:sz w:val="24"/>
          <w:highlight w:val="none"/>
          <w:u w:val="single"/>
          <w14:textFill>
            <w14:solidFill>
              <w14:schemeClr w14:val="tx1"/>
            </w14:solidFill>
          </w14:textFill>
        </w:rPr>
        <w:t>工程完工验收合格后，由发包人认可的具有相应资质的建设工程造价咨询机构对本合同工程造价进行审计，并以该审计结果作为结算工程款的依据。承包人提供的结算资料不符合审计要求的，必须及时补充提供，后果由承包人自行承担。</w:t>
      </w:r>
    </w:p>
    <w:p w14:paraId="41221A78">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highlight w:val="none"/>
          <w:u w:val="single"/>
          <w14:textFill>
            <w14:solidFill>
              <w14:schemeClr w14:val="tx1"/>
            </w14:solidFill>
          </w14:textFill>
        </w:rPr>
        <w:t>以审计结果为准。</w:t>
      </w:r>
    </w:p>
    <w:p w14:paraId="79172A65">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.3 最终结清</w:t>
      </w:r>
    </w:p>
    <w:p w14:paraId="4C913DBA">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.1 最终结清申请单</w:t>
      </w:r>
    </w:p>
    <w:p w14:paraId="7BC7339E">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承包人提交最终结清申请单的份数：</w:t>
      </w:r>
      <w:r>
        <w:rPr>
          <w:rFonts w:hint="eastAsia" w:ascii="宋体" w:hAnsi="宋体" w:cs="宋体"/>
          <w:color w:val="000000" w:themeColor="text1"/>
          <w:sz w:val="24"/>
          <w:highlight w:val="none"/>
          <w:u w:val="single"/>
          <w14:textFill>
            <w14:solidFill>
              <w14:schemeClr w14:val="tx1"/>
            </w14:solidFill>
          </w14:textFill>
        </w:rPr>
        <w:t xml:space="preserve">     二份       </w:t>
      </w:r>
      <w:r>
        <w:rPr>
          <w:rFonts w:hint="eastAsia" w:ascii="宋体" w:hAnsi="宋体" w:cs="宋体"/>
          <w:color w:val="000000" w:themeColor="text1"/>
          <w:sz w:val="24"/>
          <w:highlight w:val="none"/>
          <w14:textFill>
            <w14:solidFill>
              <w14:schemeClr w14:val="tx1"/>
            </w14:solidFill>
          </w14:textFill>
        </w:rPr>
        <w:t>。</w:t>
      </w:r>
    </w:p>
    <w:p w14:paraId="3E02BBDA">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承包人提交最终结算申请单的期限：</w:t>
      </w:r>
      <w:r>
        <w:rPr>
          <w:rFonts w:hint="eastAsia" w:ascii="宋体" w:hAnsi="宋体" w:cs="宋体"/>
          <w:color w:val="000000" w:themeColor="text1"/>
          <w:sz w:val="24"/>
          <w:highlight w:val="none"/>
          <w:u w:val="single"/>
          <w14:textFill>
            <w14:solidFill>
              <w14:schemeClr w14:val="tx1"/>
            </w14:solidFill>
          </w14:textFill>
        </w:rPr>
        <w:t xml:space="preserve"> 在缺陷责任期终止证书颁发后7天内 </w:t>
      </w:r>
      <w:r>
        <w:rPr>
          <w:rFonts w:hint="eastAsia" w:ascii="宋体" w:hAnsi="宋体" w:cs="宋体"/>
          <w:color w:val="000000" w:themeColor="text1"/>
          <w:sz w:val="24"/>
          <w:highlight w:val="none"/>
          <w14:textFill>
            <w14:solidFill>
              <w14:schemeClr w14:val="tx1"/>
            </w14:solidFill>
          </w14:textFill>
        </w:rPr>
        <w:t xml:space="preserve">。 </w:t>
      </w:r>
    </w:p>
    <w:p w14:paraId="0EB0194B">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.2 最终结清证书和支付</w:t>
      </w:r>
    </w:p>
    <w:p w14:paraId="7B1AE869">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发包人完成最终结清申请单的审批并颁发最终结清证书的期限：收到最终结算申请单60天内。</w:t>
      </w:r>
    </w:p>
    <w:p w14:paraId="53174983">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发包人完成支付的期限：  验收合格审计后，按合同约定结算办法确定项目结算金额并收到合规发票后60天。</w:t>
      </w:r>
    </w:p>
    <w:p w14:paraId="317C9C3A">
      <w:pPr>
        <w:pStyle w:val="221"/>
        <w:spacing w:before="0" w:after="0" w:line="360" w:lineRule="auto"/>
        <w:ind w:left="0" w:firstLine="0"/>
        <w:contextualSpacing/>
        <w:jc w:val="lef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color w:val="000000" w:themeColor="text1"/>
          <w:sz w:val="24"/>
          <w:szCs w:val="24"/>
          <w:highlight w:val="none"/>
          <w14:textFill>
            <w14:solidFill>
              <w14:schemeClr w14:val="tx1"/>
            </w14:solidFill>
          </w14:textFill>
        </w:rPr>
        <w:t>. 缺陷责任期与保修</w:t>
      </w:r>
    </w:p>
    <w:p w14:paraId="5B6FE9E8">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.1缺陷责任期</w:t>
      </w:r>
    </w:p>
    <w:p w14:paraId="43856542">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缺陷责任期的具体期限：</w:t>
      </w:r>
      <w:r>
        <w:rPr>
          <w:rFonts w:hint="eastAsia" w:ascii="宋体" w:hAnsi="宋体" w:cs="宋体"/>
          <w:color w:val="000000" w:themeColor="text1"/>
          <w:sz w:val="24"/>
          <w:highlight w:val="none"/>
          <w:u w:val="single"/>
          <w14:textFill>
            <w14:solidFill>
              <w14:schemeClr w14:val="tx1"/>
            </w14:solidFill>
          </w14:textFill>
        </w:rPr>
        <w:t xml:space="preserve"> 以通过验收的实际竣工日期起计24个月 。</w:t>
      </w:r>
    </w:p>
    <w:p w14:paraId="1D6E69D3">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.2 质量保证金</w:t>
      </w:r>
    </w:p>
    <w:p w14:paraId="63EE19E0">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.2.1 承包人提供质量保证金的方式</w:t>
      </w:r>
    </w:p>
    <w:p w14:paraId="46B871A1">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质量保证金采用以下第</w:t>
      </w:r>
      <w:r>
        <w:rPr>
          <w:rFonts w:hint="eastAsia" w:ascii="宋体" w:hAnsi="宋体" w:cs="宋体"/>
          <w:color w:val="000000" w:themeColor="text1"/>
          <w:sz w:val="24"/>
          <w:highlight w:val="none"/>
          <w:u w:val="single"/>
          <w14:textFill>
            <w14:solidFill>
              <w14:schemeClr w14:val="tx1"/>
            </w14:solidFill>
          </w14:textFill>
        </w:rPr>
        <w:t xml:space="preserve"> （2） </w:t>
      </w:r>
      <w:r>
        <w:rPr>
          <w:rFonts w:hint="eastAsia" w:ascii="宋体" w:hAnsi="宋体" w:cs="宋体"/>
          <w:color w:val="000000" w:themeColor="text1"/>
          <w:sz w:val="24"/>
          <w:highlight w:val="none"/>
          <w14:textFill>
            <w14:solidFill>
              <w14:schemeClr w14:val="tx1"/>
            </w14:solidFill>
          </w14:textFill>
        </w:rPr>
        <w:t>种方式：</w:t>
      </w:r>
    </w:p>
    <w:p w14:paraId="5E0112B7">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（1）质量保证金保函，保证金额为：</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 </w:t>
      </w:r>
    </w:p>
    <w:p w14:paraId="2F6BCA43">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u w:val="single"/>
          <w14:textFill>
            <w14:solidFill>
              <w14:schemeClr w14:val="tx1"/>
            </w14:solidFill>
          </w14:textFill>
        </w:rPr>
        <w:t xml:space="preserve">  3  </w:t>
      </w:r>
      <w:r>
        <w:rPr>
          <w:rFonts w:hint="eastAsia" w:ascii="宋体" w:hAnsi="宋体" w:cs="宋体"/>
          <w:color w:val="000000" w:themeColor="text1"/>
          <w:sz w:val="24"/>
          <w:highlight w:val="none"/>
          <w14:textFill>
            <w14:solidFill>
              <w14:schemeClr w14:val="tx1"/>
            </w14:solidFill>
          </w14:textFill>
        </w:rPr>
        <w:t>%的工程款；</w:t>
      </w:r>
    </w:p>
    <w:p w14:paraId="5085344B">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（3）其他方式</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60493F88">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 xml:space="preserve">.2.2 质量保证金的扣留 </w:t>
      </w:r>
    </w:p>
    <w:p w14:paraId="1DF64949">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质量保证金的扣留采取以下第</w:t>
      </w:r>
      <w:r>
        <w:rPr>
          <w:rFonts w:hint="eastAsia" w:ascii="宋体" w:hAnsi="宋体" w:cs="宋体"/>
          <w:color w:val="000000" w:themeColor="text1"/>
          <w:sz w:val="24"/>
          <w:highlight w:val="none"/>
          <w:u w:val="single"/>
          <w14:textFill>
            <w14:solidFill>
              <w14:schemeClr w14:val="tx1"/>
            </w14:solidFill>
          </w14:textFill>
        </w:rPr>
        <w:t xml:space="preserve">   （3）   </w:t>
      </w:r>
      <w:r>
        <w:rPr>
          <w:rFonts w:hint="eastAsia" w:ascii="宋体" w:hAnsi="宋体" w:cs="宋体"/>
          <w:color w:val="000000" w:themeColor="text1"/>
          <w:sz w:val="24"/>
          <w:highlight w:val="none"/>
          <w14:textFill>
            <w14:solidFill>
              <w14:schemeClr w14:val="tx1"/>
            </w14:solidFill>
          </w14:textFill>
        </w:rPr>
        <w:t>种方式：</w:t>
      </w:r>
    </w:p>
    <w:p w14:paraId="4A27350A">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（1）在支付工程进度款时逐次扣留，在此情形下，质量保证金的计算基数不包括预付款的支付、扣回以及价格调整的金额；</w:t>
      </w:r>
    </w:p>
    <w:p w14:paraId="3D4F938D">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（2）工程竣工结算时一次性扣留质量保证金；</w:t>
      </w:r>
    </w:p>
    <w:p w14:paraId="42D6F944">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（3）其他扣留方式</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合同期内支付季度工程款时，扣除3%当期工程结算价 </w:t>
      </w:r>
      <w:r>
        <w:rPr>
          <w:rFonts w:hint="eastAsia" w:ascii="宋体" w:hAnsi="宋体" w:cs="宋体"/>
          <w:color w:val="000000" w:themeColor="text1"/>
          <w:sz w:val="24"/>
          <w:highlight w:val="none"/>
          <w14:textFill>
            <w14:solidFill>
              <w14:schemeClr w14:val="tx1"/>
            </w14:solidFill>
          </w14:textFill>
        </w:rPr>
        <w:t>。</w:t>
      </w:r>
    </w:p>
    <w:p w14:paraId="2938E9D1">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关于质量保证金的补充约定：</w:t>
      </w:r>
      <w:r>
        <w:rPr>
          <w:rFonts w:hint="eastAsia" w:ascii="宋体" w:hAnsi="宋体" w:cs="宋体"/>
          <w:color w:val="000000" w:themeColor="text1"/>
          <w:sz w:val="24"/>
          <w:highlight w:val="none"/>
          <w:u w:val="single"/>
          <w14:textFill>
            <w14:solidFill>
              <w14:schemeClr w14:val="tx1"/>
            </w14:solidFill>
          </w14:textFill>
        </w:rPr>
        <w:t xml:space="preserve"> 合同期结束，且各期3%余款满一年后，如无质量问题一次性支付。</w:t>
      </w:r>
    </w:p>
    <w:p w14:paraId="43D7502F">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.3保修</w:t>
      </w:r>
    </w:p>
    <w:p w14:paraId="5C2930B1">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.3.1 保修责任</w:t>
      </w:r>
    </w:p>
    <w:p w14:paraId="32ADD602">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工程保修期为：</w:t>
      </w:r>
      <w:r>
        <w:rPr>
          <w:rFonts w:hint="eastAsia" w:ascii="宋体" w:hAnsi="宋体" w:cs="宋体"/>
          <w:color w:val="000000" w:themeColor="text1"/>
          <w:sz w:val="24"/>
          <w:highlight w:val="none"/>
          <w:u w:val="single"/>
          <w14:textFill>
            <w14:solidFill>
              <w14:schemeClr w14:val="tx1"/>
            </w14:solidFill>
          </w14:textFill>
        </w:rPr>
        <w:t xml:space="preserve">   详见附件《工程质量保修书》 </w:t>
      </w:r>
      <w:r>
        <w:rPr>
          <w:rFonts w:hint="eastAsia" w:ascii="宋体" w:hAnsi="宋体" w:cs="宋体"/>
          <w:color w:val="000000" w:themeColor="text1"/>
          <w:sz w:val="24"/>
          <w:highlight w:val="none"/>
          <w14:textFill>
            <w14:solidFill>
              <w14:schemeClr w14:val="tx1"/>
            </w14:solidFill>
          </w14:textFill>
        </w:rPr>
        <w:t>。</w:t>
      </w:r>
    </w:p>
    <w:p w14:paraId="15B2C9E4">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.3.2 修复通知</w:t>
      </w:r>
    </w:p>
    <w:p w14:paraId="64002DF0">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highlight w:val="none"/>
          <w:u w:val="single"/>
          <w14:textFill>
            <w14:solidFill>
              <w14:schemeClr w14:val="tx1"/>
            </w14:solidFill>
          </w14:textFill>
        </w:rPr>
        <w:t xml:space="preserve">  7天   </w:t>
      </w:r>
      <w:r>
        <w:rPr>
          <w:rFonts w:hint="eastAsia" w:ascii="宋体" w:hAnsi="宋体" w:cs="宋体"/>
          <w:color w:val="000000" w:themeColor="text1"/>
          <w:sz w:val="24"/>
          <w:highlight w:val="none"/>
          <w14:textFill>
            <w14:solidFill>
              <w14:schemeClr w14:val="tx1"/>
            </w14:solidFill>
          </w14:textFill>
        </w:rPr>
        <w:t>。</w:t>
      </w:r>
    </w:p>
    <w:p w14:paraId="23AC9E40">
      <w:pPr>
        <w:pStyle w:val="221"/>
        <w:spacing w:before="0" w:after="0" w:line="360" w:lineRule="auto"/>
        <w:ind w:left="0" w:firstLine="0"/>
        <w:contextualSpacing/>
        <w:jc w:val="lef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color w:val="000000" w:themeColor="text1"/>
          <w:sz w:val="24"/>
          <w:szCs w:val="24"/>
          <w:highlight w:val="none"/>
          <w14:textFill>
            <w14:solidFill>
              <w14:schemeClr w14:val="tx1"/>
            </w14:solidFill>
          </w14:textFill>
        </w:rPr>
        <w:t>.违约</w:t>
      </w:r>
    </w:p>
    <w:p w14:paraId="29FC5617">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highlight w:val="none"/>
          <w:lang w:val="zh-CN"/>
          <w14:textFill>
            <w14:solidFill>
              <w14:schemeClr w14:val="tx1"/>
            </w14:solidFill>
          </w14:textFill>
        </w:rPr>
        <w:t>守约方的直接或可预期间接损失由违约方全部赔偿。</w:t>
      </w:r>
    </w:p>
    <w:p w14:paraId="10DA7B37">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合同履行期间，其他违约责任</w:t>
      </w:r>
    </w:p>
    <w:p w14:paraId="6ECABDAD">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zh-CN"/>
          <w14:textFill>
            <w14:solidFill>
              <w14:schemeClr w14:val="tx1"/>
            </w14:solidFill>
          </w14:textFill>
        </w:rPr>
        <w:t>.1在合同期内，承包人不得擅自将合同义务转包或分包他人，如出现上述情况，发包人有权随时解除合同。</w:t>
      </w:r>
    </w:p>
    <w:p w14:paraId="77CE8BB2">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2.2承包人的维护修缮工作违反国家法律法规强制性规定、发包人的规章制度，承包人为此承担违约金3000元—30000元，</w:t>
      </w:r>
      <w:r>
        <w:rPr>
          <w:rFonts w:hint="eastAsia" w:ascii="宋体" w:hAnsi="宋体" w:cs="宋体"/>
          <w:color w:val="000000" w:themeColor="text1"/>
          <w:sz w:val="24"/>
          <w:highlight w:val="none"/>
          <w14:textFill>
            <w14:solidFill>
              <w14:schemeClr w14:val="tx1"/>
            </w14:solidFill>
          </w14:textFill>
        </w:rPr>
        <w:t>具体违约金，由发包人视情况开具通知书，</w:t>
      </w:r>
      <w:r>
        <w:rPr>
          <w:rFonts w:hint="eastAsia" w:ascii="宋体" w:hAnsi="宋体" w:cs="宋体"/>
          <w:color w:val="000000" w:themeColor="text1"/>
          <w:sz w:val="24"/>
          <w:highlight w:val="none"/>
          <w:lang w:val="zh-CN"/>
          <w14:textFill>
            <w14:solidFill>
              <w14:schemeClr w14:val="tx1"/>
            </w14:solidFill>
          </w14:textFill>
        </w:rPr>
        <w:t>且发包人有权随时解除合同。</w:t>
      </w:r>
    </w:p>
    <w:p w14:paraId="3D1B16E7">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2.3对在合同期内工作能力低下、服务态度恶劣、违反医院规章制度、不服从医院监督管理、严重影响医院的声誉、妨碍正常医疗工作秩序等情形的承包人工作人员，发包人提出更换要求而承包人延迟更换的，承包人须为此承担违约金1000元/名/月；连续6月延迟更换的，承包人为此承担违约金3000元—30000元，</w:t>
      </w:r>
      <w:r>
        <w:rPr>
          <w:rFonts w:hint="eastAsia" w:ascii="宋体" w:hAnsi="宋体" w:cs="宋体"/>
          <w:color w:val="000000" w:themeColor="text1"/>
          <w:sz w:val="24"/>
          <w:highlight w:val="none"/>
          <w14:textFill>
            <w14:solidFill>
              <w14:schemeClr w14:val="tx1"/>
            </w14:solidFill>
          </w14:textFill>
        </w:rPr>
        <w:t>具体违约金，由发包人视情况开具通知书，</w:t>
      </w:r>
      <w:r>
        <w:rPr>
          <w:rFonts w:hint="eastAsia" w:ascii="宋体" w:hAnsi="宋体" w:cs="宋体"/>
          <w:color w:val="000000" w:themeColor="text1"/>
          <w:sz w:val="24"/>
          <w:highlight w:val="none"/>
          <w:lang w:val="zh-CN"/>
          <w14:textFill>
            <w14:solidFill>
              <w14:schemeClr w14:val="tx1"/>
            </w14:solidFill>
          </w14:textFill>
        </w:rPr>
        <w:t>且发包人有权随时解除合同。</w:t>
      </w:r>
    </w:p>
    <w:p w14:paraId="026AC5FC">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2.4承包人工作人员不服从发包人后勤处管理监督，拒不听从工作指挥者，承包人为此承担违约金500元/次；情节严重或屡犯（三次以上）者，发包人有权提出更换要求。</w:t>
      </w:r>
    </w:p>
    <w:p w14:paraId="4885465B">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2.5承包人工作人员工作期间饮酒或酒后上岗、在院内工作场所打牌者，承包人为此承担违约金500元/次；情节严重或屡犯（三次以上）者，发包人有权提出更换要求。（上岗饮酒或酒后上岗者所导致的一切后果，责任由其自行承担）。</w:t>
      </w:r>
    </w:p>
    <w:p w14:paraId="618687CA">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2.6承包人工作人员因工作处置不当而被投诉者（经发包人调查属实的）或者因工作质量低劣而被发包人提出整改意见者，承包人为此承担违约金1000元/次；情节严重或屡犯（三次以上）者，发包人有权提出更换要求。</w:t>
      </w:r>
    </w:p>
    <w:p w14:paraId="09570789">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2.7、承包人工作人员懈怠履行医院院内治安消防安全维护义务，遇应急事态或安全隐患等特殊情况未立即向上级报告、因失职未能及时发现治安消防等安全隐患并果断采取防范措施者或因失职发生工作差错者，承包人为此承担违约金1000元/次；情节严重或屡犯（三次以上）者，发包人有权提出更换要求。</w:t>
      </w:r>
    </w:p>
    <w:p w14:paraId="33D23915">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2.8、承包人工作人员懈怠履行医院院内治安消防安全维护义务，因失职未能及时发现治安消防事件及其他安全事故并果断采取处置措施者，或因失职导致安全事故者，承包人为此承担违约金3000元/次，且发包人有权提出更换要求。</w:t>
      </w:r>
    </w:p>
    <w:p w14:paraId="00C4C7AB">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2.9、承包人工作人员过失损坏医院公共设施及公私财物者，承包人承担相应赔偿责任；承包人工作人员故意损坏医院公共设施及公私财物者，承包人承担相应赔偿责任，承包人为此承担违约金3000元/次，且发包人有权提出更换要求。</w:t>
      </w:r>
    </w:p>
    <w:p w14:paraId="60631965">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2.10、承包人工作人员在工作时间与他人发生争吵和肢体冲突的，承包人为此承担违约金500元/次；情节严重或屡犯（三次以上）者，发包人有权提出更换要求。</w:t>
      </w:r>
    </w:p>
    <w:p w14:paraId="6BCE222A">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2.11、发包人院领导检查时或者在上级主管部门相关检查时，发现承包人工作出现质量低劣的，承包人为此承担违约金5000元/次；情节严重或屡犯（3次以上/月）者，承包人为此承担违约金30000元/次，且发包人有权提出解除合同。</w:t>
      </w:r>
    </w:p>
    <w:p w14:paraId="69DCC563">
      <w:pPr>
        <w:spacing w:line="360" w:lineRule="auto"/>
        <w:ind w:firstLine="480"/>
        <w:contextualSpacing/>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2.12、承包人在采购活动中所作书面承诺或提供文件如有虚假，发包人有权在合同履行阶段单方解除合同（发包人不需承担任何违约责任），并追究承包人法律责任。</w:t>
      </w:r>
    </w:p>
    <w:p w14:paraId="32F3E5FC">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zh-CN"/>
          <w14:textFill>
            <w14:solidFill>
              <w14:schemeClr w14:val="tx1"/>
            </w14:solidFill>
          </w14:textFill>
        </w:rPr>
        <w:t>2.13、承包人未按发包人拟定工期竣工完成，造成工期延误，承包人承担违约金</w:t>
      </w:r>
      <w:r>
        <w:rPr>
          <w:rFonts w:hint="eastAsia"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lang w:val="zh-CN"/>
          <w14:textFill>
            <w14:solidFill>
              <w14:schemeClr w14:val="tx1"/>
            </w14:solidFill>
          </w14:textFill>
        </w:rPr>
        <w:t>00元/天（结算时按实际延误天数累计计算违约金）。</w:t>
      </w:r>
    </w:p>
    <w:p w14:paraId="7201F79C">
      <w:pPr>
        <w:pStyle w:val="221"/>
        <w:spacing w:line="360" w:lineRule="auto"/>
        <w:ind w:left="0" w:firstLine="0"/>
        <w:contextualSpacing/>
        <w:jc w:val="lef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color w:val="000000" w:themeColor="text1"/>
          <w:sz w:val="24"/>
          <w:szCs w:val="24"/>
          <w:highlight w:val="none"/>
          <w14:textFill>
            <w14:solidFill>
              <w14:schemeClr w14:val="tx1"/>
            </w14:solidFill>
          </w14:textFill>
        </w:rPr>
        <w:t xml:space="preserve">. 不可抗力 </w:t>
      </w:r>
    </w:p>
    <w:p w14:paraId="48F4AA2B">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.1 不可抗力的确认</w:t>
      </w:r>
    </w:p>
    <w:p w14:paraId="18A2F8E5">
      <w:pPr>
        <w:spacing w:line="360" w:lineRule="auto"/>
        <w:ind w:firstLine="480"/>
        <w:contextualSpacing/>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除通用合同条款约定的不可抗力事件之外，视为不可抗力的其他情形： </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728DBC4F">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.2 因不可抗力解除合同</w:t>
      </w:r>
    </w:p>
    <w:p w14:paraId="495C8277">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highlight w:val="none"/>
          <w:u w:val="single"/>
          <w14:textFill>
            <w14:solidFill>
              <w14:schemeClr w14:val="tx1"/>
            </w14:solidFill>
          </w14:textFill>
        </w:rPr>
        <w:t xml:space="preserve"> 60 </w:t>
      </w:r>
      <w:r>
        <w:rPr>
          <w:rFonts w:hint="eastAsia" w:ascii="宋体" w:hAnsi="宋体" w:cs="宋体"/>
          <w:color w:val="000000" w:themeColor="text1"/>
          <w:sz w:val="24"/>
          <w:highlight w:val="none"/>
          <w14:textFill>
            <w14:solidFill>
              <w14:schemeClr w14:val="tx1"/>
            </w14:solidFill>
          </w14:textFill>
        </w:rPr>
        <w:t>天内完成款项的支付。</w:t>
      </w:r>
    </w:p>
    <w:p w14:paraId="2DB16A3B">
      <w:pPr>
        <w:pStyle w:val="221"/>
        <w:spacing w:line="360" w:lineRule="auto"/>
        <w:ind w:left="0" w:firstLine="0"/>
        <w:contextualSpacing/>
        <w:jc w:val="lef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color w:val="000000" w:themeColor="text1"/>
          <w:sz w:val="24"/>
          <w:szCs w:val="24"/>
          <w:highlight w:val="none"/>
          <w14:textFill>
            <w14:solidFill>
              <w14:schemeClr w14:val="tx1"/>
            </w14:solidFill>
          </w14:textFill>
        </w:rPr>
        <w:t>. 保险</w:t>
      </w:r>
    </w:p>
    <w:p w14:paraId="08C75D77">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.1 工程保险</w:t>
      </w:r>
    </w:p>
    <w:p w14:paraId="095DA50A">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关于工程保险的特别约定：</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58C6E963">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.2 其他保险</w:t>
      </w:r>
    </w:p>
    <w:p w14:paraId="24803847">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关于其他保险的约定：</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w:t>
      </w:r>
    </w:p>
    <w:p w14:paraId="2F4DDD40">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highlight w:val="none"/>
          <w:u w:val="single"/>
          <w14:textFill>
            <w14:solidFill>
              <w14:schemeClr w14:val="tx1"/>
            </w14:solidFill>
          </w14:textFill>
        </w:rPr>
        <w:t>必须办理，相关费用由承包人自行承担</w:t>
      </w:r>
      <w:r>
        <w:rPr>
          <w:rFonts w:hint="eastAsia" w:ascii="宋体" w:hAnsi="宋体" w:cs="宋体"/>
          <w:color w:val="000000" w:themeColor="text1"/>
          <w:sz w:val="24"/>
          <w:highlight w:val="none"/>
          <w14:textFill>
            <w14:solidFill>
              <w14:schemeClr w14:val="tx1"/>
            </w14:solidFill>
          </w14:textFill>
        </w:rPr>
        <w:t>。</w:t>
      </w:r>
    </w:p>
    <w:p w14:paraId="0E3392E2">
      <w:pPr>
        <w:pStyle w:val="221"/>
        <w:spacing w:line="360" w:lineRule="auto"/>
        <w:ind w:left="0" w:firstLine="0"/>
        <w:contextualSpacing/>
        <w:jc w:val="lef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color w:val="000000" w:themeColor="text1"/>
          <w:sz w:val="24"/>
          <w:szCs w:val="24"/>
          <w:highlight w:val="none"/>
          <w14:textFill>
            <w14:solidFill>
              <w14:schemeClr w14:val="tx1"/>
            </w14:solidFill>
          </w14:textFill>
        </w:rPr>
        <w:t>. 争议解决</w:t>
      </w:r>
    </w:p>
    <w:p w14:paraId="3A0AEDB7">
      <w:pPr>
        <w:spacing w:line="360" w:lineRule="auto"/>
        <w:ind w:firstLine="480"/>
        <w:contextualSpacing/>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highlight w:val="none"/>
          <w:u w:val="single"/>
          <w14:textFill>
            <w14:solidFill>
              <w14:schemeClr w14:val="tx1"/>
            </w14:solidFill>
          </w14:textFill>
        </w:rPr>
        <w:t xml:space="preserve"> （2）</w:t>
      </w:r>
      <w:r>
        <w:rPr>
          <w:rFonts w:hint="eastAsia" w:ascii="宋体" w:hAnsi="宋体" w:cs="宋体"/>
          <w:color w:val="000000" w:themeColor="text1"/>
          <w:sz w:val="24"/>
          <w:highlight w:val="none"/>
          <w14:textFill>
            <w14:solidFill>
              <w14:schemeClr w14:val="tx1"/>
            </w14:solidFill>
          </w14:textFill>
        </w:rPr>
        <w:t>种方式解决：</w:t>
      </w:r>
    </w:p>
    <w:p w14:paraId="0B092F0B">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（1）向</w:t>
      </w:r>
      <w:r>
        <w:rPr>
          <w:rFonts w:hint="eastAsia" w:ascii="宋体" w:hAnsi="宋体" w:cs="宋体"/>
          <w:color w:val="000000" w:themeColor="text1"/>
          <w:sz w:val="24"/>
          <w:highlight w:val="none"/>
          <w:u w:val="single"/>
          <w14:textFill>
            <w14:solidFill>
              <w14:schemeClr w14:val="tx1"/>
            </w14:solidFill>
          </w14:textFill>
        </w:rPr>
        <w:t xml:space="preserve">  无锡  </w:t>
      </w:r>
      <w:r>
        <w:rPr>
          <w:rFonts w:hint="eastAsia" w:ascii="宋体" w:hAnsi="宋体" w:cs="宋体"/>
          <w:color w:val="000000" w:themeColor="text1"/>
          <w:sz w:val="24"/>
          <w:highlight w:val="none"/>
          <w14:textFill>
            <w14:solidFill>
              <w14:schemeClr w14:val="tx1"/>
            </w14:solidFill>
          </w14:textFill>
        </w:rPr>
        <w:t>仲裁委员会申请仲裁；</w:t>
      </w:r>
    </w:p>
    <w:p w14:paraId="1EAF4FB8">
      <w:pP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sectPr>
          <w:footerReference r:id="rId6" w:type="first"/>
          <w:footerReference r:id="rId5" w:type="default"/>
          <w:pgSz w:w="11906" w:h="16838"/>
          <w:pgMar w:top="1418" w:right="1554" w:bottom="1418" w:left="1531" w:header="851" w:footer="992" w:gutter="0"/>
          <w:pgNumType w:start="1"/>
          <w:cols w:space="720" w:num="1"/>
          <w:titlePg/>
          <w:docGrid w:linePitch="360" w:charSpace="0"/>
        </w:sectPr>
      </w:pPr>
      <w:r>
        <w:rPr>
          <w:rFonts w:hint="eastAsia" w:ascii="宋体" w:hAnsi="宋体" w:cs="宋体"/>
          <w:color w:val="000000" w:themeColor="text1"/>
          <w:sz w:val="24"/>
          <w:highlight w:val="none"/>
          <w14:textFill>
            <w14:solidFill>
              <w14:schemeClr w14:val="tx1"/>
            </w14:solidFill>
          </w14:textFill>
        </w:rPr>
        <w:t>（2）向</w:t>
      </w:r>
      <w:r>
        <w:rPr>
          <w:rFonts w:hint="eastAsia" w:ascii="宋体" w:hAnsi="宋体" w:cs="宋体"/>
          <w:color w:val="000000" w:themeColor="text1"/>
          <w:sz w:val="24"/>
          <w:highlight w:val="none"/>
          <w:u w:val="single"/>
          <w14:textFill>
            <w14:solidFill>
              <w14:schemeClr w14:val="tx1"/>
            </w14:solidFill>
          </w14:textFill>
        </w:rPr>
        <w:t xml:space="preserve">  工程所在地  </w:t>
      </w:r>
      <w:r>
        <w:rPr>
          <w:rFonts w:hint="eastAsia" w:ascii="宋体" w:hAnsi="宋体" w:cs="宋体"/>
          <w:color w:val="000000" w:themeColor="text1"/>
          <w:sz w:val="24"/>
          <w:highlight w:val="none"/>
          <w14:textFill>
            <w14:solidFill>
              <w14:schemeClr w14:val="tx1"/>
            </w14:solidFill>
          </w14:textFill>
        </w:rPr>
        <w:t>人民法院起诉。</w:t>
      </w:r>
    </w:p>
    <w:p w14:paraId="11A9EB3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附件一：    </w:t>
      </w:r>
    </w:p>
    <w:p w14:paraId="0B0B5DFB">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工程质量保修书</w:t>
      </w:r>
    </w:p>
    <w:p w14:paraId="62106C7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发包人（全称）：</w:t>
      </w:r>
      <w:r>
        <w:rPr>
          <w:rFonts w:hint="eastAsia" w:ascii="宋体" w:hAnsi="宋体" w:cs="宋体"/>
          <w:color w:val="000000" w:themeColor="text1"/>
          <w:sz w:val="24"/>
          <w:highlight w:val="none"/>
          <w:u w:val="single"/>
          <w14:textFill>
            <w14:solidFill>
              <w14:schemeClr w14:val="tx1"/>
            </w14:solidFill>
          </w14:textFill>
        </w:rPr>
        <w:t>无锡市第二人民医院</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4ADEF35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承包人（全称）：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19401012">
      <w:pPr>
        <w:spacing w:line="360" w:lineRule="auto"/>
        <w:rPr>
          <w:rFonts w:hint="eastAsia" w:ascii="宋体" w:hAnsi="宋体" w:cs="宋体"/>
          <w:color w:val="000000" w:themeColor="text1"/>
          <w:sz w:val="24"/>
          <w:highlight w:val="none"/>
          <w14:textFill>
            <w14:solidFill>
              <w14:schemeClr w14:val="tx1"/>
            </w14:solidFill>
          </w14:textFill>
        </w:rPr>
      </w:pPr>
    </w:p>
    <w:p w14:paraId="0555369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发包人和承包人根据《中华人民共和国建筑法》和《建设工程质量管理条例》，经协商一致就</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签订工程质量保修书。</w:t>
      </w:r>
    </w:p>
    <w:p w14:paraId="3403BE5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一、工程质量保修范围和内容</w:t>
      </w:r>
    </w:p>
    <w:p w14:paraId="7EF715C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承包人在质量保修期内，按照有关法律规定和合同约定，承担工程质量保修责任。</w:t>
      </w:r>
    </w:p>
    <w:p w14:paraId="27EEDBAA">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 w:val="24"/>
          <w:highlight w:val="none"/>
          <w:u w:val="single"/>
          <w14:textFill>
            <w14:solidFill>
              <w14:schemeClr w14:val="tx1"/>
            </w14:solidFill>
          </w14:textFill>
        </w:rPr>
        <w:t xml:space="preserve"> 合同承包范围全部内容    </w:t>
      </w:r>
      <w:r>
        <w:rPr>
          <w:rFonts w:hint="eastAsia" w:ascii="宋体" w:hAnsi="宋体" w:cs="宋体"/>
          <w:color w:val="000000" w:themeColor="text1"/>
          <w:sz w:val="24"/>
          <w:highlight w:val="none"/>
          <w14:textFill>
            <w14:solidFill>
              <w14:schemeClr w14:val="tx1"/>
            </w14:solidFill>
          </w14:textFill>
        </w:rPr>
        <w:t>。</w:t>
      </w:r>
    </w:p>
    <w:p w14:paraId="76218B2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二、质量保修期</w:t>
      </w:r>
    </w:p>
    <w:p w14:paraId="43078EE1">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根据《建设工程质量管理条例》及有关规定，工程的质量保修期如下：</w:t>
      </w:r>
    </w:p>
    <w:p w14:paraId="5DD5359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地基基础工程和主体结构工程为设计文件规定的工程合理使用年限；</w:t>
      </w:r>
    </w:p>
    <w:p w14:paraId="77F3308D">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屋面防水工程、有防水要求的卫生间、房间和外墙面的防渗为</w:t>
      </w:r>
      <w:r>
        <w:rPr>
          <w:rFonts w:hint="eastAsia" w:ascii="宋体" w:hAnsi="宋体" w:cs="宋体"/>
          <w:color w:val="000000" w:themeColor="text1"/>
          <w:sz w:val="24"/>
          <w:highlight w:val="none"/>
          <w:u w:val="single"/>
          <w14:textFill>
            <w14:solidFill>
              <w14:schemeClr w14:val="tx1"/>
            </w14:solidFill>
          </w14:textFill>
        </w:rPr>
        <w:t xml:space="preserve">   5   </w:t>
      </w:r>
      <w:r>
        <w:rPr>
          <w:rFonts w:hint="eastAsia" w:ascii="宋体" w:hAnsi="宋体" w:cs="宋体"/>
          <w:color w:val="000000" w:themeColor="text1"/>
          <w:sz w:val="24"/>
          <w:highlight w:val="none"/>
          <w14:textFill>
            <w14:solidFill>
              <w14:schemeClr w14:val="tx1"/>
            </w14:solidFill>
          </w14:textFill>
        </w:rPr>
        <w:t>年；</w:t>
      </w:r>
    </w:p>
    <w:p w14:paraId="79616B0C">
      <w:pPr>
        <w:spacing w:line="360" w:lineRule="auto"/>
        <w:ind w:left="420" w:firstLine="1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装修工程为</w:t>
      </w:r>
      <w:r>
        <w:rPr>
          <w:rFonts w:hint="eastAsia" w:ascii="宋体" w:hAnsi="宋体" w:cs="宋体"/>
          <w:color w:val="000000" w:themeColor="text1"/>
          <w:sz w:val="24"/>
          <w:highlight w:val="none"/>
          <w:u w:val="single"/>
          <w14:textFill>
            <w14:solidFill>
              <w14:schemeClr w14:val="tx1"/>
            </w14:solidFill>
          </w14:textFill>
        </w:rPr>
        <w:t xml:space="preserve">   2   </w:t>
      </w:r>
      <w:r>
        <w:rPr>
          <w:rFonts w:hint="eastAsia" w:ascii="宋体" w:hAnsi="宋体" w:cs="宋体"/>
          <w:color w:val="000000" w:themeColor="text1"/>
          <w:sz w:val="24"/>
          <w:highlight w:val="none"/>
          <w14:textFill>
            <w14:solidFill>
              <w14:schemeClr w14:val="tx1"/>
            </w14:solidFill>
          </w14:textFill>
        </w:rPr>
        <w:t>年；</w:t>
      </w:r>
    </w:p>
    <w:p w14:paraId="43155A6D">
      <w:pPr>
        <w:spacing w:line="360" w:lineRule="auto"/>
        <w:ind w:left="420" w:firstLine="1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电气管线、给排水管道、设备安装工程为</w:t>
      </w:r>
      <w:r>
        <w:rPr>
          <w:rFonts w:hint="eastAsia" w:ascii="宋体" w:hAnsi="宋体" w:cs="宋体"/>
          <w:color w:val="000000" w:themeColor="text1"/>
          <w:sz w:val="24"/>
          <w:highlight w:val="none"/>
          <w:u w:val="single"/>
          <w14:textFill>
            <w14:solidFill>
              <w14:schemeClr w14:val="tx1"/>
            </w14:solidFill>
          </w14:textFill>
        </w:rPr>
        <w:t xml:space="preserve">    2   </w:t>
      </w:r>
      <w:r>
        <w:rPr>
          <w:rFonts w:hint="eastAsia" w:ascii="宋体" w:hAnsi="宋体" w:cs="宋体"/>
          <w:color w:val="000000" w:themeColor="text1"/>
          <w:sz w:val="24"/>
          <w:highlight w:val="none"/>
          <w14:textFill>
            <w14:solidFill>
              <w14:schemeClr w14:val="tx1"/>
            </w14:solidFill>
          </w14:textFill>
        </w:rPr>
        <w:t>年；</w:t>
      </w:r>
    </w:p>
    <w:p w14:paraId="11C2939E">
      <w:pPr>
        <w:spacing w:line="360" w:lineRule="auto"/>
        <w:ind w:left="420" w:firstLine="1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供热与供冷系统为</w:t>
      </w:r>
      <w:r>
        <w:rPr>
          <w:rFonts w:hint="eastAsia" w:ascii="宋体" w:hAnsi="宋体" w:cs="宋体"/>
          <w:color w:val="000000" w:themeColor="text1"/>
          <w:sz w:val="24"/>
          <w:highlight w:val="none"/>
          <w:u w:val="single"/>
          <w14:textFill>
            <w14:solidFill>
              <w14:schemeClr w14:val="tx1"/>
            </w14:solidFill>
          </w14:textFill>
        </w:rPr>
        <w:t xml:space="preserve">   2    </w:t>
      </w:r>
      <w:r>
        <w:rPr>
          <w:rFonts w:hint="eastAsia" w:ascii="宋体" w:hAnsi="宋体" w:cs="宋体"/>
          <w:color w:val="000000" w:themeColor="text1"/>
          <w:sz w:val="24"/>
          <w:highlight w:val="none"/>
          <w14:textFill>
            <w14:solidFill>
              <w14:schemeClr w14:val="tx1"/>
            </w14:solidFill>
          </w14:textFill>
        </w:rPr>
        <w:t>个采暖期、供冷期；</w:t>
      </w:r>
    </w:p>
    <w:p w14:paraId="3EF58A3A">
      <w:pPr>
        <w:spacing w:line="360" w:lineRule="auto"/>
        <w:ind w:left="420" w:firstLine="1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住宅小区内的给排水设施、道路等配套工程为</w:t>
      </w:r>
      <w:r>
        <w:rPr>
          <w:rFonts w:hint="eastAsia" w:ascii="宋体" w:hAnsi="宋体" w:cs="宋体"/>
          <w:color w:val="000000" w:themeColor="text1"/>
          <w:sz w:val="24"/>
          <w:highlight w:val="none"/>
          <w:u w:val="single"/>
          <w14:textFill>
            <w14:solidFill>
              <w14:schemeClr w14:val="tx1"/>
            </w14:solidFill>
          </w14:textFill>
        </w:rPr>
        <w:t xml:space="preserve">    2    </w:t>
      </w:r>
      <w:r>
        <w:rPr>
          <w:rFonts w:hint="eastAsia" w:ascii="宋体" w:hAnsi="宋体" w:cs="宋体"/>
          <w:color w:val="000000" w:themeColor="text1"/>
          <w:sz w:val="24"/>
          <w:highlight w:val="none"/>
          <w14:textFill>
            <w14:solidFill>
              <w14:schemeClr w14:val="tx1"/>
            </w14:solidFill>
          </w14:textFill>
        </w:rPr>
        <w:t>年；</w:t>
      </w:r>
    </w:p>
    <w:p w14:paraId="267640B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质量保修期自工程竣工验收合格之日起计算。</w:t>
      </w:r>
    </w:p>
    <w:p w14:paraId="6155C680">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三、缺陷责任期</w:t>
      </w:r>
    </w:p>
    <w:p w14:paraId="20AECF65">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工程缺陷责任期为</w:t>
      </w:r>
      <w:r>
        <w:rPr>
          <w:rFonts w:hint="eastAsia" w:ascii="宋体" w:hAnsi="宋体" w:cs="宋体"/>
          <w:color w:val="000000" w:themeColor="text1"/>
          <w:sz w:val="24"/>
          <w:highlight w:val="none"/>
          <w:u w:val="single"/>
          <w14:textFill>
            <w14:solidFill>
              <w14:schemeClr w14:val="tx1"/>
            </w14:solidFill>
          </w14:textFill>
        </w:rPr>
        <w:t xml:space="preserve">   24  </w:t>
      </w:r>
      <w:r>
        <w:rPr>
          <w:rFonts w:hint="eastAsia" w:ascii="宋体" w:hAnsi="宋体" w:cs="宋体"/>
          <w:color w:val="000000" w:themeColor="text1"/>
          <w:sz w:val="24"/>
          <w:highlight w:val="none"/>
          <w14:textFill>
            <w14:solidFill>
              <w14:schemeClr w14:val="tx1"/>
            </w14:solidFill>
          </w14:textFill>
        </w:rPr>
        <w:t>个月，缺陷责任期自工程实际竣工之日起计算。单位工程先于全部工程进行验收，单位工程缺陷责任期自单位工程验收合格之日起算。</w:t>
      </w:r>
    </w:p>
    <w:p w14:paraId="105C703A">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缺陷责任期终止后，发包人应退还剩余的质量保证金。</w:t>
      </w:r>
    </w:p>
    <w:p w14:paraId="67847C6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四、质量保修责任</w:t>
      </w:r>
    </w:p>
    <w:p w14:paraId="48290373">
      <w:pPr>
        <w:spacing w:line="360" w:lineRule="auto"/>
        <w:ind w:left="105" w:firstLine="49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21C4A8AC">
      <w:pPr>
        <w:spacing w:line="360" w:lineRule="auto"/>
        <w:ind w:left="105" w:firstLine="49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发生紧急事故需抢修的，承包人在接到事故通知后，应当立即到达事故现场抢修。</w:t>
      </w:r>
    </w:p>
    <w:p w14:paraId="061116F3">
      <w:pPr>
        <w:spacing w:line="360" w:lineRule="auto"/>
        <w:ind w:left="105" w:firstLine="49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themeColor="text1"/>
          <w:sz w:val="24"/>
          <w:highlight w:val="none"/>
          <w:lang w:eastAsia="zh-CN"/>
          <w14:textFill>
            <w14:solidFill>
              <w14:schemeClr w14:val="tx1"/>
            </w14:solidFill>
          </w14:textFill>
        </w:rPr>
        <w:t>，由</w:t>
      </w:r>
      <w:r>
        <w:rPr>
          <w:rFonts w:hint="eastAsia" w:ascii="宋体" w:hAnsi="宋体" w:cs="宋体"/>
          <w:color w:val="000000" w:themeColor="text1"/>
          <w:sz w:val="24"/>
          <w:highlight w:val="none"/>
          <w14:textFill>
            <w14:solidFill>
              <w14:schemeClr w14:val="tx1"/>
            </w14:solidFill>
          </w14:textFill>
        </w:rPr>
        <w:t>承包人实施保修。</w:t>
      </w:r>
    </w:p>
    <w:p w14:paraId="34A1EF03">
      <w:pPr>
        <w:spacing w:line="360" w:lineRule="auto"/>
        <w:ind w:left="420" w:firstLine="1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质量保修完成后，由发包人组织验收。</w:t>
      </w:r>
    </w:p>
    <w:p w14:paraId="782023F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五、保修费用</w:t>
      </w:r>
    </w:p>
    <w:p w14:paraId="48F9F36D">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保修费用由造成质量缺陷的责任方承担。</w:t>
      </w:r>
    </w:p>
    <w:p w14:paraId="06031DDA">
      <w:pPr>
        <w:spacing w:line="360" w:lineRule="auto"/>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六、双方约定的其他工程质量保修事项：   </w:t>
      </w:r>
      <w:r>
        <w:rPr>
          <w:rFonts w:hint="eastAsia" w:ascii="宋体" w:hAnsi="宋体" w:cs="宋体"/>
          <w:color w:val="000000" w:themeColor="text1"/>
          <w:sz w:val="24"/>
          <w:highlight w:val="none"/>
          <w:u w:val="single"/>
          <w14:textFill>
            <w14:solidFill>
              <w14:schemeClr w14:val="tx1"/>
            </w14:solidFill>
          </w14:textFill>
        </w:rPr>
        <w:t xml:space="preserve">无                                                                 </w:t>
      </w:r>
      <w:r>
        <w:rPr>
          <w:rFonts w:hint="eastAsia" w:ascii="宋体" w:hAnsi="宋体" w:cs="宋体"/>
          <w:color w:val="000000" w:themeColor="text1"/>
          <w:sz w:val="24"/>
          <w:highlight w:val="none"/>
          <w14:textFill>
            <w14:solidFill>
              <w14:schemeClr w14:val="tx1"/>
            </w14:solidFill>
          </w14:textFill>
        </w:rPr>
        <w:t>。</w:t>
      </w:r>
    </w:p>
    <w:p w14:paraId="4F1EB745">
      <w:pPr>
        <w:spacing w:line="360" w:lineRule="auto"/>
        <w:ind w:firstLine="45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工程质量保修书由发包人、承包人在工程竣工验收前共同签署，作为施工合同附件，其有效期限至保修期满。</w:t>
      </w:r>
    </w:p>
    <w:p w14:paraId="35051F7A">
      <w:pPr>
        <w:spacing w:line="360" w:lineRule="auto"/>
        <w:ind w:firstLine="420"/>
        <w:rPr>
          <w:rFonts w:hint="eastAsia" w:ascii="宋体" w:hAnsi="宋体" w:cs="宋体"/>
          <w:color w:val="000000" w:themeColor="text1"/>
          <w:sz w:val="24"/>
          <w:highlight w:val="none"/>
          <w14:textFill>
            <w14:solidFill>
              <w14:schemeClr w14:val="tx1"/>
            </w14:solidFill>
          </w14:textFill>
        </w:rPr>
      </w:pPr>
    </w:p>
    <w:p w14:paraId="1864B3C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承包人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14:paraId="4C5D32A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                 地  址：</w:t>
      </w:r>
      <w:r>
        <w:rPr>
          <w:rFonts w:hint="eastAsia" w:ascii="宋体" w:hAnsi="宋体" w:cs="宋体"/>
          <w:color w:val="000000" w:themeColor="text1"/>
          <w:sz w:val="24"/>
          <w:highlight w:val="none"/>
          <w:u w:val="single"/>
          <w14:textFill>
            <w14:solidFill>
              <w14:schemeClr w14:val="tx1"/>
            </w14:solidFill>
          </w14:textFill>
        </w:rPr>
        <w:t xml:space="preserve">    </w:t>
      </w:r>
    </w:p>
    <w:p w14:paraId="6EFF70F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法定代表人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14:paraId="27A79CA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委托代理人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委托代理人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14:paraId="3E01023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                 电  话：</w:t>
      </w:r>
      <w:r>
        <w:rPr>
          <w:rFonts w:hint="eastAsia" w:ascii="宋体" w:hAnsi="宋体" w:cs="宋体"/>
          <w:color w:val="000000" w:themeColor="text1"/>
          <w:sz w:val="24"/>
          <w:highlight w:val="none"/>
          <w:u w:val="single"/>
          <w14:textFill>
            <w14:solidFill>
              <w14:schemeClr w14:val="tx1"/>
            </w14:solidFill>
          </w14:textFill>
        </w:rPr>
        <w:t xml:space="preserve">   </w:t>
      </w:r>
    </w:p>
    <w:p w14:paraId="4583CA6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                 传  真：</w:t>
      </w:r>
      <w:r>
        <w:rPr>
          <w:rFonts w:hint="eastAsia" w:ascii="宋体" w:hAnsi="宋体" w:cs="宋体"/>
          <w:color w:val="000000" w:themeColor="text1"/>
          <w:sz w:val="24"/>
          <w:highlight w:val="none"/>
          <w:u w:val="single"/>
          <w14:textFill>
            <w14:solidFill>
              <w14:schemeClr w14:val="tx1"/>
            </w14:solidFill>
          </w14:textFill>
        </w:rPr>
        <w:t xml:space="preserve"> </w:t>
      </w:r>
    </w:p>
    <w:p w14:paraId="099EB61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               开户银行：</w:t>
      </w:r>
      <w:r>
        <w:rPr>
          <w:rFonts w:hint="eastAsia" w:ascii="宋体" w:hAnsi="宋体" w:cs="宋体"/>
          <w:color w:val="000000" w:themeColor="text1"/>
          <w:sz w:val="24"/>
          <w:highlight w:val="none"/>
          <w:u w:val="single"/>
          <w14:textFill>
            <w14:solidFill>
              <w14:schemeClr w14:val="tx1"/>
            </w14:solidFill>
          </w14:textFill>
        </w:rPr>
        <w:t xml:space="preserve">  </w:t>
      </w:r>
    </w:p>
    <w:p w14:paraId="69B23BF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  号：                 账  号：</w:t>
      </w:r>
      <w:r>
        <w:rPr>
          <w:rFonts w:hint="eastAsia" w:ascii="宋体" w:hAnsi="宋体" w:cs="宋体"/>
          <w:color w:val="000000" w:themeColor="text1"/>
          <w:sz w:val="24"/>
          <w:highlight w:val="none"/>
          <w:u w:val="single"/>
          <w14:textFill>
            <w14:solidFill>
              <w14:schemeClr w14:val="tx1"/>
            </w14:solidFill>
          </w14:textFill>
        </w:rPr>
        <w:t xml:space="preserve">   </w:t>
      </w:r>
    </w:p>
    <w:p w14:paraId="67A2361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               邮政编码：</w:t>
      </w:r>
      <w:r>
        <w:rPr>
          <w:rFonts w:hint="eastAsia" w:ascii="宋体" w:hAnsi="宋体" w:cs="宋体"/>
          <w:color w:val="000000" w:themeColor="text1"/>
          <w:sz w:val="24"/>
          <w:highlight w:val="none"/>
          <w:u w:val="single"/>
          <w14:textFill>
            <w14:solidFill>
              <w14:schemeClr w14:val="tx1"/>
            </w14:solidFill>
          </w14:textFill>
        </w:rPr>
        <w:t xml:space="preserve">   </w:t>
      </w:r>
    </w:p>
    <w:p w14:paraId="04BB5985">
      <w:pPr>
        <w:spacing w:line="360" w:lineRule="auto"/>
        <w:rPr>
          <w:rFonts w:hint="eastAsia" w:ascii="宋体" w:hAnsi="宋体" w:cs="宋体"/>
          <w:color w:val="000000" w:themeColor="text1"/>
          <w:sz w:val="32"/>
          <w:szCs w:val="32"/>
          <w:highlight w:val="none"/>
          <w14:textFill>
            <w14:solidFill>
              <w14:schemeClr w14:val="tx1"/>
            </w14:solidFill>
          </w14:textFill>
        </w:rPr>
      </w:pPr>
    </w:p>
    <w:p w14:paraId="71891DCF">
      <w:pP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r>
    </w:p>
    <w:p w14:paraId="53858707">
      <w:pPr>
        <w:pStyle w:val="222"/>
        <w:spacing w:line="360" w:lineRule="auto"/>
        <w:ind w:left="0" w:firstLine="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补充条款</w:t>
      </w:r>
    </w:p>
    <w:p w14:paraId="149BD7BA">
      <w:pPr>
        <w:spacing w:line="360"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质量奖惩：</w:t>
      </w:r>
    </w:p>
    <w:p w14:paraId="34AD544D">
      <w:pPr>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（1）本工程确保一次验收100％达到合格标准，如因承包方原因一次验收达不到合格工程标准，则承包方必须返修整改达到合格标准为止，才能交付发包方，其返修费用均</w:t>
      </w:r>
      <w:r>
        <w:rPr>
          <w:rFonts w:hint="eastAsia" w:ascii="宋体" w:hAnsi="宋体" w:cs="宋体"/>
          <w:color w:val="000000" w:themeColor="text1"/>
          <w:sz w:val="24"/>
          <w:highlight w:val="none"/>
          <w:lang w:eastAsia="zh-CN"/>
          <w14:textFill>
            <w14:solidFill>
              <w14:schemeClr w14:val="tx1"/>
            </w14:solidFill>
          </w14:textFill>
        </w:rPr>
        <w:t>由</w:t>
      </w:r>
      <w:r>
        <w:rPr>
          <w:rFonts w:hint="eastAsia" w:ascii="宋体" w:hAnsi="宋体" w:cs="宋体"/>
          <w:color w:val="000000" w:themeColor="text1"/>
          <w:sz w:val="24"/>
          <w:highlight w:val="none"/>
          <w14:textFill>
            <w14:solidFill>
              <w14:schemeClr w14:val="tx1"/>
            </w14:solidFill>
          </w14:textFill>
        </w:rPr>
        <w:t>承包方自行承担。返修工期计入总工期考核，并支付发包方质量违约金；竣工验收一次不合格由承包方按照合同价的5％支付违约金给发包方。</w:t>
      </w:r>
    </w:p>
    <w:p w14:paraId="5FCF2F19">
      <w:pPr>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（2）每季度期满后28天内提供全部结算资料，由发包方委托具备工程造价审核资质的中介机构进行结算审核，审计结果由承、发包双方确认后作为结算依据。承包方提供的结算核减额在5%以内（含5%）审计</w:t>
      </w:r>
      <w:r>
        <w:rPr>
          <w:rFonts w:hint="eastAsia" w:ascii="宋体" w:hAnsi="宋体" w:cs="宋体"/>
          <w:color w:val="000000" w:themeColor="text1"/>
          <w:sz w:val="24"/>
          <w:highlight w:val="none"/>
          <w:lang w:eastAsia="zh-CN"/>
          <w14:textFill>
            <w14:solidFill>
              <w14:schemeClr w14:val="tx1"/>
            </w14:solidFill>
          </w14:textFill>
        </w:rPr>
        <w:t>费用</w:t>
      </w:r>
      <w:r>
        <w:rPr>
          <w:rFonts w:hint="eastAsia" w:ascii="宋体" w:hAnsi="宋体" w:cs="宋体"/>
          <w:color w:val="000000" w:themeColor="text1"/>
          <w:sz w:val="24"/>
          <w:highlight w:val="none"/>
          <w14:textFill>
            <w14:solidFill>
              <w14:schemeClr w14:val="tx1"/>
            </w14:solidFill>
          </w14:textFill>
        </w:rPr>
        <w:t>由发包人承担，核减额超过5%时所有审计费用由承包方承担。</w:t>
      </w:r>
    </w:p>
    <w:p w14:paraId="0F019BE4">
      <w:pPr>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涉及</w:t>
      </w:r>
      <w:r>
        <w:rPr>
          <w:rFonts w:hint="eastAsia" w:ascii="宋体" w:hAnsi="宋体" w:cs="宋体"/>
          <w:color w:val="000000" w:themeColor="text1"/>
          <w:sz w:val="24"/>
          <w:highlight w:val="none"/>
          <w14:textFill>
            <w14:solidFill>
              <w14:schemeClr w14:val="tx1"/>
            </w14:solidFill>
          </w14:textFill>
        </w:rPr>
        <w:t>工程价款的签证，应以发包方签署作为结算依据 。所有签证承包方必须在事件发生后3天内报出签证申请，逾期作为让利。</w:t>
      </w:r>
    </w:p>
    <w:p w14:paraId="13A19C56">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（4）施工期间，承包方要做到文明施工，并符合市创建卫生城市的要求，材料堆放整齐，做好工地文明创建工作，在施工过程中如受到有关部门的通报批评，则每次按该工程总建筑面积10元／M</w:t>
      </w:r>
      <w:r>
        <w:rPr>
          <w:rFonts w:hint="eastAsia" w:ascii="宋体" w:hAnsi="宋体" w:cs="宋体"/>
          <w:color w:val="000000" w:themeColor="text1"/>
          <w:sz w:val="24"/>
          <w:highlight w:val="none"/>
          <w:vertAlign w:val="superscript"/>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扣款。工程车辆上路行驶时抛、洒、滴、漏，涉及环卫方面的问题，由中标供应商负责解决及承担可能出现的费用。</w:t>
      </w:r>
    </w:p>
    <w:p w14:paraId="20A17021">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严格施工安全，承包方必须配备专职、资质相符的现场安全员，应对施工人员进行安全教育，不发生人身伤亡事故和火灾事故，并应参加建筑、安装工程保险，施工中发生的质量、安全事故及责任和经济损失均</w:t>
      </w:r>
      <w:r>
        <w:rPr>
          <w:rFonts w:hint="eastAsia" w:ascii="宋体" w:hAnsi="宋体" w:cs="宋体"/>
          <w:color w:val="000000" w:themeColor="text1"/>
          <w:sz w:val="24"/>
          <w:highlight w:val="none"/>
          <w:lang w:eastAsia="zh-CN"/>
          <w14:textFill>
            <w14:solidFill>
              <w14:schemeClr w14:val="tx1"/>
            </w14:solidFill>
          </w14:textFill>
        </w:rPr>
        <w:t>由</w:t>
      </w:r>
      <w:r>
        <w:rPr>
          <w:rFonts w:hint="eastAsia" w:ascii="宋体" w:hAnsi="宋体" w:cs="宋体"/>
          <w:color w:val="000000" w:themeColor="text1"/>
          <w:sz w:val="24"/>
          <w:highlight w:val="none"/>
          <w14:textFill>
            <w14:solidFill>
              <w14:schemeClr w14:val="tx1"/>
            </w14:solidFill>
          </w14:textFill>
        </w:rPr>
        <w:t>承包方负责。</w:t>
      </w:r>
    </w:p>
    <w:p w14:paraId="35522CFA">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（6）一旦中标项目负责人、现场安全员不得更换，并必须全过程管理直至工程竣工，否则作违约处理，施工单位清理出场，承担一切直接、间接的经济损失并没收履约担保金。</w:t>
      </w:r>
    </w:p>
    <w:p w14:paraId="03BCA778">
      <w:pPr>
        <w:tabs>
          <w:tab w:val="left" w:pos="8280"/>
        </w:tabs>
        <w:spacing w:line="360" w:lineRule="auto"/>
        <w:ind w:firstLine="163"/>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（7）工期：具体开工时间以发包人通知为准。延误工期承包方应按照1000元/天支付违约金给发包方，误期赔偿费不设上限。</w:t>
      </w:r>
    </w:p>
    <w:p w14:paraId="50198A02">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（8）除通用条款约定的不可抗力外，</w:t>
      </w:r>
      <w:r>
        <w:rPr>
          <w:rFonts w:hint="eastAsia" w:ascii="宋体" w:hAnsi="宋体" w:cs="宋体"/>
          <w:color w:val="000000" w:themeColor="text1"/>
          <w:sz w:val="24"/>
          <w:highlight w:val="none"/>
          <w:lang w:eastAsia="zh-CN"/>
          <w14:textFill>
            <w14:solidFill>
              <w14:schemeClr w14:val="tx1"/>
            </w14:solidFill>
          </w14:textFill>
        </w:rPr>
        <w:t>另</w:t>
      </w:r>
      <w:r>
        <w:rPr>
          <w:rFonts w:hint="eastAsia" w:ascii="宋体" w:hAnsi="宋体" w:cs="宋体"/>
          <w:color w:val="000000" w:themeColor="text1"/>
          <w:sz w:val="24"/>
          <w:highlight w:val="none"/>
          <w14:textFill>
            <w14:solidFill>
              <w14:schemeClr w14:val="tx1"/>
            </w14:solidFill>
          </w14:textFill>
        </w:rPr>
        <w:t>约定的不可抗力由发包方、承包方视事件情况共同论定。</w:t>
      </w:r>
    </w:p>
    <w:p w14:paraId="548DE286">
      <w:pPr>
        <w:tabs>
          <w:tab w:val="left" w:pos="8280"/>
        </w:tabs>
        <w:spacing w:line="360" w:lineRule="auto"/>
        <w:ind w:firstLine="238"/>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（9）中标供应商宗旨：保证与采购人密切配合，服从统一指挥、统一安排，高标准、严要求、安全优质、快速地完成该合同工程的施工建设，确保采购人满意。</w:t>
      </w:r>
    </w:p>
    <w:p w14:paraId="0AE73E3E">
      <w:pPr>
        <w:tabs>
          <w:tab w:val="left" w:pos="8280"/>
        </w:tabs>
        <w:spacing w:line="360" w:lineRule="auto"/>
        <w:ind w:firstLine="40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中标供应商采购的建筑材料，必须符合现行国家质量标准的要求。材料进场时必须附有出厂合格证，并会同采购人代表进行复核查验后使用，必要时可共同抽样送质检部门认可有效的检测单位复验，检验费用由中标供应商承担。遵循谁采购谁负责的原则，不合格的材料、设备由材料来源的采购方组织处理、清出现场。</w:t>
      </w:r>
    </w:p>
    <w:p w14:paraId="6702DFB5">
      <w:pPr>
        <w:tabs>
          <w:tab w:val="left" w:pos="8280"/>
        </w:tabs>
        <w:spacing w:line="360" w:lineRule="auto"/>
        <w:ind w:firstLine="40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（11）对施工过程中的主要质量控制的主要要求：施工方法、施工顺序中标供应商必须严格按采购人工地代表批准的施工组织设计（施工方案）组织施工，并由采购人工地代表监督实施。</w:t>
      </w:r>
    </w:p>
    <w:p w14:paraId="5A9A5421">
      <w:pPr>
        <w:tabs>
          <w:tab w:val="left" w:pos="8280"/>
        </w:tabs>
        <w:spacing w:line="360" w:lineRule="auto"/>
        <w:ind w:firstLine="40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（12）工程竣工后二个月内中标供应商逾期提交合同范围内的工程竣工结算时，采购人可相应延期支付中标供应商的工程款。</w:t>
      </w:r>
    </w:p>
    <w:p w14:paraId="1FD1AF8F">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（13）投标报价中没有的材料，以实际发生的价格，发包方确认后，作为结算的依据。</w:t>
      </w:r>
    </w:p>
    <w:p w14:paraId="49F1F6C3">
      <w:pPr>
        <w:tabs>
          <w:tab w:val="left" w:pos="8280"/>
        </w:tabs>
        <w:spacing w:line="360" w:lineRule="auto"/>
        <w:ind w:firstLin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（14）有暂估价的材料按暂估价报价，中标后由发包方、承包方双方共同看样</w:t>
      </w:r>
      <w:r>
        <w:rPr>
          <w:rFonts w:hint="eastAsia" w:ascii="宋体" w:hAnsi="宋体" w:cs="宋体"/>
          <w:color w:val="000000" w:themeColor="text1"/>
          <w:sz w:val="24"/>
          <w:highlight w:val="none"/>
          <w:lang w:eastAsia="zh-CN"/>
          <w14:textFill>
            <w14:solidFill>
              <w14:schemeClr w14:val="tx1"/>
            </w14:solidFill>
          </w14:textFill>
        </w:rPr>
        <w:t>订货，</w:t>
      </w:r>
      <w:r>
        <w:rPr>
          <w:rFonts w:hint="eastAsia" w:ascii="宋体" w:hAnsi="宋体" w:cs="宋体"/>
          <w:color w:val="000000" w:themeColor="text1"/>
          <w:sz w:val="24"/>
          <w:highlight w:val="none"/>
          <w14:textFill>
            <w14:solidFill>
              <w14:schemeClr w14:val="tx1"/>
            </w14:solidFill>
          </w14:textFill>
        </w:rPr>
        <w:t>发包方以确认单的形式明确材料的结算价格。</w:t>
      </w:r>
    </w:p>
    <w:p w14:paraId="3EFF9DFB">
      <w:pPr>
        <w:tabs>
          <w:tab w:val="left" w:pos="8280"/>
        </w:tabs>
        <w:spacing w:line="360" w:lineRule="auto"/>
        <w:ind w:firstLine="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（15）中标供应商不得将中标项目转包、分包。</w:t>
      </w:r>
    </w:p>
    <w:p w14:paraId="4032DAFD">
      <w:pPr>
        <w:widowControl/>
        <w:shd w:val="clear" w:color="auto" w:fill="FFFFFF"/>
        <w:jc w:val="left"/>
        <w:outlineLvl w:val="1"/>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附件二：</w:t>
      </w:r>
    </w:p>
    <w:p w14:paraId="29A49232">
      <w:pPr>
        <w:widowControl/>
        <w:shd w:val="clear" w:color="auto" w:fill="FFFFFF"/>
        <w:jc w:val="center"/>
        <w:outlineLvl w:val="1"/>
        <w:rPr>
          <w:rFonts w:ascii="Arial" w:hAnsi="Arial" w:cs="Arial"/>
          <w:b/>
          <w:bCs/>
          <w:color w:val="000000" w:themeColor="text1"/>
          <w:sz w:val="36"/>
          <w:szCs w:val="36"/>
          <w:highlight w:val="none"/>
          <w14:textFill>
            <w14:solidFill>
              <w14:schemeClr w14:val="tx1"/>
            </w14:solidFill>
          </w14:textFill>
        </w:rPr>
      </w:pPr>
      <w:r>
        <w:rPr>
          <w:rFonts w:ascii="Arial" w:hAnsi="Arial" w:cs="Arial"/>
          <w:b/>
          <w:bCs/>
          <w:color w:val="000000" w:themeColor="text1"/>
          <w:sz w:val="36"/>
          <w:szCs w:val="36"/>
          <w:highlight w:val="none"/>
          <w14:textFill>
            <w14:solidFill>
              <w14:schemeClr w14:val="tx1"/>
            </w14:solidFill>
          </w14:textFill>
        </w:rPr>
        <w:t>施工安全协议</w:t>
      </w:r>
    </w:p>
    <w:p w14:paraId="569706F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甲方：无锡市第二人民医院</w:t>
      </w:r>
    </w:p>
    <w:p w14:paraId="663766E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w:t>
      </w:r>
    </w:p>
    <w:p w14:paraId="6C718E1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为全面履行甲乙双方签订的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内容，进一步明确在施工过程中甲乙双方的安全责任，保护施工人员的安全和健康，防止伤亡事故的发生，依据《中华人民共和国安全生产法</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中华人民共和国建筑法</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中华人民共和国劳动法》及其他有关</w:t>
      </w:r>
      <w:r>
        <w:rPr>
          <w:rFonts w:hint="eastAsia" w:ascii="宋体" w:hAnsi="宋体" w:cs="宋体"/>
          <w:color w:val="000000" w:themeColor="text1"/>
          <w:sz w:val="24"/>
          <w:highlight w:val="none"/>
          <w:lang w:eastAsia="zh-CN"/>
          <w14:textFill>
            <w14:solidFill>
              <w14:schemeClr w14:val="tx1"/>
            </w14:solidFill>
          </w14:textFill>
        </w:rPr>
        <w:t>法律法规</w:t>
      </w:r>
      <w:r>
        <w:rPr>
          <w:rFonts w:hint="eastAsia" w:ascii="宋体" w:hAnsi="宋体" w:cs="宋体"/>
          <w:color w:val="000000" w:themeColor="text1"/>
          <w:sz w:val="24"/>
          <w:highlight w:val="none"/>
          <w14:textFill>
            <w14:solidFill>
              <w14:schemeClr w14:val="tx1"/>
            </w14:solidFill>
          </w14:textFill>
        </w:rPr>
        <w:t>，甲乙双方就          项目协商达成一致，并同意按以下条款签订本协议。</w:t>
      </w:r>
    </w:p>
    <w:p w14:paraId="12A8BD7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乙方必须建立安全生产责任制，加强规范化管理，向施工人员进行安全交底、安全教育和安全宣传等各类安全活动，严格执行安全技术方案。</w:t>
      </w:r>
    </w:p>
    <w:p w14:paraId="633773D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施工现场和工人操作面，必须严格按国家、政府规定的安全生产、文明施工标准搞好防护工作，保证工人有安全可靠、卫生的工作环境，严禁违章作业、违章指挥。</w:t>
      </w:r>
    </w:p>
    <w:p w14:paraId="6E967B1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施工现场的用电线路、用电设施的安装和使用必须符合安装规范和安全操作规程，并按照施工组织设计进行架设，严禁任意拉线接电。严格执行临时用电、动火作业审批制度。</w:t>
      </w:r>
    </w:p>
    <w:p w14:paraId="07F3EFB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施工机械进场须经过安全检查，经检查合格的方能使用，并依照有关规定持证上岗，禁止无证人员操作。</w:t>
      </w:r>
    </w:p>
    <w:p w14:paraId="4F22A09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乙方应当做好施工现场安全保卫工作，采取必要的防盗措施，在现场周边设立围护设施。非施工人员不得擅自进入施工现场。</w:t>
      </w:r>
    </w:p>
    <w:p w14:paraId="37977DD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二、甲方责任与义务</w:t>
      </w:r>
    </w:p>
    <w:p w14:paraId="20992C7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甲方有权要求立刻撤走施工场内乙方施工队伍中的违章操作人员。</w:t>
      </w:r>
    </w:p>
    <w:p w14:paraId="3B7E0D2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对不符合安全规定的，甲方安全管理人员有权要求乙方停工和强行整改使之达到安全标准，所需整改费用按三倍从工程款中扣除，同时因此造成的一切损失由乙方承担。</w:t>
      </w:r>
    </w:p>
    <w:p w14:paraId="717912C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如乙方有违反安全生产、治安、消防、文明施工规定的行为，甲方有权监督、检查和制止，因此造成的一切损失由乙方承担。</w:t>
      </w:r>
    </w:p>
    <w:p w14:paraId="36BED41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三、乙方责任与义务</w:t>
      </w:r>
    </w:p>
    <w:p w14:paraId="15E88AF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乙方必须尊重</w:t>
      </w:r>
      <w:r>
        <w:rPr>
          <w:rFonts w:hint="eastAsia" w:ascii="宋体" w:hAnsi="宋体" w:cs="宋体"/>
          <w:color w:val="000000" w:themeColor="text1"/>
          <w:sz w:val="24"/>
          <w:highlight w:val="none"/>
          <w:lang w:eastAsia="zh-CN"/>
          <w14:textFill>
            <w14:solidFill>
              <w14:schemeClr w14:val="tx1"/>
            </w14:solidFill>
          </w14:textFill>
        </w:rPr>
        <w:t>并</w:t>
      </w:r>
      <w:r>
        <w:rPr>
          <w:rFonts w:hint="eastAsia" w:ascii="宋体" w:hAnsi="宋体" w:cs="宋体"/>
          <w:color w:val="000000" w:themeColor="text1"/>
          <w:sz w:val="24"/>
          <w:highlight w:val="none"/>
          <w14:textFill>
            <w14:solidFill>
              <w14:schemeClr w14:val="tx1"/>
            </w14:solidFill>
          </w14:textFill>
        </w:rPr>
        <w:t>服从甲方现行的有关安全生产各项规章制度和管理方式，并按经济合同有关条款加强自身管理，履行乙方责任。</w:t>
      </w:r>
    </w:p>
    <w:p w14:paraId="3D60D57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乙方必须执行安全技术方案报批制度、安全技术交底制度、每周安全例会制度与班前安全讲话制度，并做好跟踪检查管理工作。</w:t>
      </w:r>
    </w:p>
    <w:p w14:paraId="5C41F45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乙方必须执行各级安全教育培训以及持证上岗制度，按要求建立自身的定期和不定期的安全生产检查制度，</w:t>
      </w:r>
      <w:r>
        <w:rPr>
          <w:rFonts w:hint="eastAsia" w:ascii="宋体" w:hAnsi="宋体" w:cs="宋体"/>
          <w:color w:val="000000" w:themeColor="text1"/>
          <w:sz w:val="24"/>
          <w:highlight w:val="none"/>
          <w:lang w:eastAsia="zh-CN"/>
          <w14:textFill>
            <w14:solidFill>
              <w14:schemeClr w14:val="tx1"/>
            </w14:solidFill>
          </w14:textFill>
        </w:rPr>
        <w:t>并</w:t>
      </w:r>
      <w:r>
        <w:rPr>
          <w:rFonts w:hint="eastAsia" w:ascii="宋体" w:hAnsi="宋体" w:cs="宋体"/>
          <w:color w:val="000000" w:themeColor="text1"/>
          <w:sz w:val="24"/>
          <w:highlight w:val="none"/>
          <w14:textFill>
            <w14:solidFill>
              <w14:schemeClr w14:val="tx1"/>
            </w14:solidFill>
          </w14:textFill>
        </w:rPr>
        <w:t>严格贯彻实施。</w:t>
      </w:r>
    </w:p>
    <w:p w14:paraId="1FFEF51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乙方必须设立专职安全人员实施日常安全生产检查制度确保安全方案和措施得到实施。</w:t>
      </w:r>
    </w:p>
    <w:p w14:paraId="5E9AA8DD">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乙方必须严格执行安全防范制度，采取一切严密的、符合安全标准的预防措施，确保所有工作场所的安全，不得存在危及工人安全和健康的危险情况，并保证建设工地所有人员或附近人员免遭工地可能发生的一切危险。</w:t>
      </w:r>
    </w:p>
    <w:p w14:paraId="4199B19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乙方自带的各类施工机械设备，机械性能应良好，各种安全防护装置齐全、灵敏、可靠。</w:t>
      </w:r>
    </w:p>
    <w:p w14:paraId="162BC40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乙方必须教育和约束自己的职工严格遵守施工现场安全管理规定。</w:t>
      </w:r>
    </w:p>
    <w:p w14:paraId="2392210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乙方必须执行个人劳动防护用品定期定量供应制度，必须预防和治理职业伤害与中毒事故。</w:t>
      </w:r>
    </w:p>
    <w:p w14:paraId="74060F7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乙方必须严格执行职工因工伤亡报告制度，乙方职工在施工现场从事施工过程中所发生的伤害事故为工伤事故，责任和损失均由乙方负责。</w:t>
      </w:r>
    </w:p>
    <w:p w14:paraId="2C1FEED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乙方必须承担</w:t>
      </w:r>
      <w:r>
        <w:rPr>
          <w:rFonts w:hint="eastAsia" w:ascii="宋体" w:hAnsi="宋体" w:cs="宋体"/>
          <w:color w:val="000000" w:themeColor="text1"/>
          <w:sz w:val="24"/>
          <w:highlight w:val="none"/>
          <w:lang w:eastAsia="zh-CN"/>
          <w14:textFill>
            <w14:solidFill>
              <w14:schemeClr w14:val="tx1"/>
            </w14:solidFill>
          </w14:textFill>
        </w:rPr>
        <w:t>因</w:t>
      </w:r>
      <w:r>
        <w:rPr>
          <w:rFonts w:hint="eastAsia" w:ascii="宋体" w:hAnsi="宋体" w:cs="宋体"/>
          <w:color w:val="000000" w:themeColor="text1"/>
          <w:sz w:val="24"/>
          <w:highlight w:val="none"/>
          <w14:textFill>
            <w14:solidFill>
              <w14:schemeClr w14:val="tx1"/>
            </w14:solidFill>
          </w14:textFill>
        </w:rPr>
        <w:t>乙方的原因造成的安全事故的经济责任和法律责任。</w:t>
      </w:r>
    </w:p>
    <w:p w14:paraId="0710FAA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本协议为施工合同补充条款，经双方签字盖章后生效，与施工合同具有同等法律效力，双方应认真履行。</w:t>
      </w:r>
    </w:p>
    <w:p w14:paraId="691B0D8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本协议一式二份，甲方一份，乙方一份。</w:t>
      </w:r>
    </w:p>
    <w:p w14:paraId="79FA048C">
      <w:pPr>
        <w:widowControl/>
        <w:shd w:val="clear" w:color="auto" w:fill="FFFFFF"/>
        <w:spacing w:line="560" w:lineRule="exact"/>
        <w:ind w:left="280" w:hanging="280"/>
        <w:jc w:val="left"/>
        <w:rPr>
          <w:rFonts w:ascii="Arial" w:hAnsi="Arial" w:cs="Arial"/>
          <w:color w:val="000000" w:themeColor="text1"/>
          <w:sz w:val="28"/>
          <w:szCs w:val="28"/>
          <w:highlight w:val="none"/>
          <w14:textFill>
            <w14:solidFill>
              <w14:schemeClr w14:val="tx1"/>
            </w14:solidFill>
          </w14:textFill>
        </w:rPr>
      </w:pPr>
    </w:p>
    <w:p w14:paraId="501C23B3">
      <w:pPr>
        <w:widowControl/>
        <w:shd w:val="clear" w:color="auto" w:fill="FFFFFF"/>
        <w:spacing w:line="560" w:lineRule="exact"/>
        <w:ind w:left="280" w:hanging="280"/>
        <w:jc w:val="left"/>
        <w:rPr>
          <w:rFonts w:ascii="Arial" w:hAnsi="Arial" w:cs="Arial"/>
          <w:color w:val="000000" w:themeColor="text1"/>
          <w:sz w:val="28"/>
          <w:szCs w:val="28"/>
          <w:highlight w:val="none"/>
          <w14:textFill>
            <w14:solidFill>
              <w14:schemeClr w14:val="tx1"/>
            </w14:solidFill>
          </w14:textFill>
        </w:rPr>
      </w:pPr>
    </w:p>
    <w:p w14:paraId="27C12EA8">
      <w:pPr>
        <w:widowControl/>
        <w:shd w:val="clear" w:color="auto" w:fill="FFFFFF"/>
        <w:spacing w:line="560" w:lineRule="exact"/>
        <w:ind w:left="280" w:hanging="280"/>
        <w:jc w:val="left"/>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甲方：__________</w:t>
      </w:r>
      <w:r>
        <w:rPr>
          <w:rFonts w:hint="eastAsia" w:ascii="Arial" w:hAnsi="Arial" w:cs="Arial"/>
          <w:color w:val="000000" w:themeColor="text1"/>
          <w:sz w:val="28"/>
          <w:szCs w:val="28"/>
          <w:highlight w:val="none"/>
          <w:lang w:eastAsia="zh-CN"/>
          <w14:textFill>
            <w14:solidFill>
              <w14:schemeClr w14:val="tx1"/>
            </w14:solidFill>
          </w14:textFill>
        </w:rPr>
        <w:t>（</w:t>
      </w:r>
      <w:r>
        <w:rPr>
          <w:rFonts w:ascii="Arial" w:hAnsi="Arial" w:cs="Arial"/>
          <w:color w:val="000000" w:themeColor="text1"/>
          <w:sz w:val="28"/>
          <w:szCs w:val="28"/>
          <w:highlight w:val="none"/>
          <w14:textFill>
            <w14:solidFill>
              <w14:schemeClr w14:val="tx1"/>
            </w14:solidFill>
          </w14:textFill>
        </w:rPr>
        <w:t>章</w:t>
      </w:r>
      <w:r>
        <w:rPr>
          <w:rFonts w:hint="eastAsia" w:ascii="Arial" w:hAnsi="Arial" w:cs="Arial"/>
          <w:color w:val="000000" w:themeColor="text1"/>
          <w:sz w:val="28"/>
          <w:szCs w:val="28"/>
          <w:highlight w:val="none"/>
          <w:lang w:eastAsia="zh-CN"/>
          <w14:textFill>
            <w14:solidFill>
              <w14:schemeClr w14:val="tx1"/>
            </w14:solidFill>
          </w14:textFill>
        </w:rPr>
        <w:t>）</w:t>
      </w:r>
      <w:r>
        <w:rPr>
          <w:rFonts w:hint="eastAsia" w:ascii="Arial" w:hAnsi="Arial" w:cs="Arial"/>
          <w:color w:val="000000" w:themeColor="text1"/>
          <w:sz w:val="28"/>
          <w:szCs w:val="28"/>
          <w:highlight w:val="none"/>
          <w14:textFill>
            <w14:solidFill>
              <w14:schemeClr w14:val="tx1"/>
            </w14:solidFill>
          </w14:textFill>
        </w:rPr>
        <w:t xml:space="preserve">                   </w:t>
      </w:r>
      <w:r>
        <w:rPr>
          <w:rFonts w:ascii="Arial" w:hAnsi="Arial" w:cs="Arial"/>
          <w:color w:val="000000" w:themeColor="text1"/>
          <w:sz w:val="28"/>
          <w:szCs w:val="28"/>
          <w:highlight w:val="none"/>
          <w14:textFill>
            <w14:solidFill>
              <w14:schemeClr w14:val="tx1"/>
            </w14:solidFill>
          </w14:textFill>
        </w:rPr>
        <w:t>乙方：__________</w:t>
      </w:r>
      <w:r>
        <w:rPr>
          <w:rFonts w:hint="eastAsia" w:ascii="Arial" w:hAnsi="Arial" w:cs="Arial"/>
          <w:color w:val="000000" w:themeColor="text1"/>
          <w:sz w:val="28"/>
          <w:szCs w:val="28"/>
          <w:highlight w:val="none"/>
          <w:lang w:eastAsia="zh-CN"/>
          <w14:textFill>
            <w14:solidFill>
              <w14:schemeClr w14:val="tx1"/>
            </w14:solidFill>
          </w14:textFill>
        </w:rPr>
        <w:t>（</w:t>
      </w:r>
      <w:r>
        <w:rPr>
          <w:rFonts w:ascii="Arial" w:hAnsi="Arial" w:cs="Arial"/>
          <w:color w:val="000000" w:themeColor="text1"/>
          <w:sz w:val="28"/>
          <w:szCs w:val="28"/>
          <w:highlight w:val="none"/>
          <w14:textFill>
            <w14:solidFill>
              <w14:schemeClr w14:val="tx1"/>
            </w14:solidFill>
          </w14:textFill>
        </w:rPr>
        <w:t>章</w:t>
      </w:r>
      <w:r>
        <w:rPr>
          <w:rFonts w:hint="eastAsia" w:ascii="Arial" w:hAnsi="Arial" w:cs="Arial"/>
          <w:color w:val="000000" w:themeColor="text1"/>
          <w:sz w:val="28"/>
          <w:szCs w:val="28"/>
          <w:highlight w:val="none"/>
          <w:lang w:eastAsia="zh-CN"/>
          <w14:textFill>
            <w14:solidFill>
              <w14:schemeClr w14:val="tx1"/>
            </w14:solidFill>
          </w14:textFill>
        </w:rPr>
        <w:t>）</w:t>
      </w:r>
    </w:p>
    <w:p w14:paraId="2CD2BBED">
      <w:pPr>
        <w:widowControl/>
        <w:shd w:val="clear" w:color="auto" w:fill="FFFFFF"/>
        <w:spacing w:line="560" w:lineRule="exact"/>
        <w:jc w:val="left"/>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代表人：__________</w:t>
      </w:r>
      <w:r>
        <w:rPr>
          <w:rFonts w:hint="eastAsia" w:ascii="Arial" w:hAnsi="Arial" w:cs="Arial"/>
          <w:color w:val="000000" w:themeColor="text1"/>
          <w:sz w:val="28"/>
          <w:szCs w:val="28"/>
          <w:highlight w:val="none"/>
          <w14:textFill>
            <w14:solidFill>
              <w14:schemeClr w14:val="tx1"/>
            </w14:solidFill>
          </w14:textFill>
        </w:rPr>
        <w:t xml:space="preserve">                    </w:t>
      </w:r>
      <w:r>
        <w:rPr>
          <w:rFonts w:ascii="Arial" w:hAnsi="Arial" w:cs="Arial"/>
          <w:color w:val="000000" w:themeColor="text1"/>
          <w:sz w:val="28"/>
          <w:szCs w:val="28"/>
          <w:highlight w:val="none"/>
          <w14:textFill>
            <w14:solidFill>
              <w14:schemeClr w14:val="tx1"/>
            </w14:solidFill>
          </w14:textFill>
        </w:rPr>
        <w:t>代表人：__________</w:t>
      </w:r>
    </w:p>
    <w:p w14:paraId="78739F65">
      <w:pPr>
        <w:widowControl/>
        <w:shd w:val="clear" w:color="auto" w:fill="FFFFFF"/>
        <w:spacing w:line="560" w:lineRule="exact"/>
        <w:ind w:firstLine="840"/>
        <w:jc w:val="left"/>
        <w:rPr>
          <w:rFonts w:hint="eastAsia"/>
          <w:color w:val="000000" w:themeColor="text1"/>
          <w:sz w:val="24"/>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t>年</w:t>
      </w:r>
      <w:r>
        <w:rPr>
          <w:rFonts w:hint="eastAsia" w:ascii="Arial" w:hAnsi="Arial" w:cs="Arial"/>
          <w:color w:val="000000" w:themeColor="text1"/>
          <w:sz w:val="28"/>
          <w:szCs w:val="28"/>
          <w:highlight w:val="none"/>
          <w14:textFill>
            <w14:solidFill>
              <w14:schemeClr w14:val="tx1"/>
            </w14:solidFill>
          </w14:textFill>
        </w:rPr>
        <w:t xml:space="preserve">   </w:t>
      </w:r>
      <w:r>
        <w:rPr>
          <w:rFonts w:ascii="Arial" w:hAnsi="Arial" w:cs="Arial"/>
          <w:color w:val="000000" w:themeColor="text1"/>
          <w:sz w:val="28"/>
          <w:szCs w:val="28"/>
          <w:highlight w:val="none"/>
          <w14:textFill>
            <w14:solidFill>
              <w14:schemeClr w14:val="tx1"/>
            </w14:solidFill>
          </w14:textFill>
        </w:rPr>
        <w:t>月</w:t>
      </w:r>
      <w:r>
        <w:rPr>
          <w:rFonts w:hint="eastAsia" w:ascii="Arial" w:hAnsi="Arial" w:cs="Arial"/>
          <w:color w:val="000000" w:themeColor="text1"/>
          <w:sz w:val="28"/>
          <w:szCs w:val="28"/>
          <w:highlight w:val="none"/>
          <w14:textFill>
            <w14:solidFill>
              <w14:schemeClr w14:val="tx1"/>
            </w14:solidFill>
          </w14:textFill>
        </w:rPr>
        <w:t xml:space="preserve">    日                           </w:t>
      </w:r>
      <w:r>
        <w:rPr>
          <w:rFonts w:ascii="Arial" w:hAnsi="Arial" w:cs="Arial"/>
          <w:color w:val="000000" w:themeColor="text1"/>
          <w:sz w:val="28"/>
          <w:szCs w:val="28"/>
          <w:highlight w:val="none"/>
          <w14:textFill>
            <w14:solidFill>
              <w14:schemeClr w14:val="tx1"/>
            </w14:solidFill>
          </w14:textFill>
        </w:rPr>
        <w:t>年</w:t>
      </w:r>
      <w:r>
        <w:rPr>
          <w:rFonts w:hint="eastAsia" w:ascii="Arial" w:hAnsi="Arial" w:cs="Arial"/>
          <w:color w:val="000000" w:themeColor="text1"/>
          <w:sz w:val="28"/>
          <w:szCs w:val="28"/>
          <w:highlight w:val="none"/>
          <w14:textFill>
            <w14:solidFill>
              <w14:schemeClr w14:val="tx1"/>
            </w14:solidFill>
          </w14:textFill>
        </w:rPr>
        <w:t xml:space="preserve">   月    日</w:t>
      </w:r>
    </w:p>
    <w:p w14:paraId="163474DE">
      <w:pPr>
        <w:tabs>
          <w:tab w:val="left" w:pos="3420"/>
        </w:tabs>
        <w:spacing w:line="360" w:lineRule="auto"/>
        <w:ind w:firstLine="480"/>
        <w:rPr>
          <w:rStyle w:val="323"/>
          <w:rFonts w:ascii="宋体" w:hAnsi="宋体"/>
          <w:color w:val="000000" w:themeColor="text1"/>
          <w:sz w:val="24"/>
          <w:highlight w:val="none"/>
          <w14:textFill>
            <w14:solidFill>
              <w14:schemeClr w14:val="tx1"/>
            </w14:solidFill>
          </w14:textFill>
        </w:rPr>
      </w:pPr>
    </w:p>
    <w:p w14:paraId="48761960">
      <w:pPr>
        <w:tabs>
          <w:tab w:val="left" w:pos="945"/>
          <w:tab w:val="left" w:pos="1155"/>
        </w:tabs>
        <w:spacing w:line="360" w:lineRule="auto"/>
        <w:rPr>
          <w:rStyle w:val="323"/>
          <w:rFonts w:ascii="宋体" w:hAnsi="宋体"/>
          <w:color w:val="000000" w:themeColor="text1"/>
          <w:sz w:val="24"/>
          <w:highlight w:val="none"/>
          <w14:textFill>
            <w14:solidFill>
              <w14:schemeClr w14:val="tx1"/>
            </w14:solidFill>
          </w14:textFill>
        </w:rPr>
      </w:pPr>
    </w:p>
    <w:p w14:paraId="4282DC2C">
      <w:pPr>
        <w:tabs>
          <w:tab w:val="left" w:pos="945"/>
          <w:tab w:val="left" w:pos="1155"/>
        </w:tabs>
        <w:spacing w:line="360" w:lineRule="exact"/>
        <w:ind w:firstLine="480"/>
        <w:rPr>
          <w:rStyle w:val="323"/>
          <w:rFonts w:ascii="宋体" w:hAnsi="宋体"/>
          <w:color w:val="000000" w:themeColor="text1"/>
          <w:sz w:val="24"/>
          <w:highlight w:val="none"/>
          <w14:textFill>
            <w14:solidFill>
              <w14:schemeClr w14:val="tx1"/>
            </w14:solidFill>
          </w14:textFill>
        </w:rPr>
      </w:pPr>
    </w:p>
    <w:p w14:paraId="7F576B4A">
      <w:pPr>
        <w:tabs>
          <w:tab w:val="left" w:pos="945"/>
          <w:tab w:val="left" w:pos="1155"/>
        </w:tabs>
        <w:spacing w:line="360" w:lineRule="exact"/>
        <w:ind w:firstLine="480"/>
        <w:rPr>
          <w:rStyle w:val="323"/>
          <w:rFonts w:ascii="宋体" w:hAnsi="宋体"/>
          <w:color w:val="000000" w:themeColor="text1"/>
          <w:sz w:val="24"/>
          <w:highlight w:val="none"/>
          <w14:textFill>
            <w14:solidFill>
              <w14:schemeClr w14:val="tx1"/>
            </w14:solidFill>
          </w14:textFill>
        </w:rPr>
      </w:pPr>
    </w:p>
    <w:p w14:paraId="7A3B5560">
      <w:pPr>
        <w:rPr>
          <w:color w:val="000000" w:themeColor="text1"/>
          <w:sz w:val="24"/>
          <w:highlight w:val="none"/>
          <w14:textFill>
            <w14:solidFill>
              <w14:schemeClr w14:val="tx1"/>
            </w14:solidFill>
          </w14:textFill>
        </w:rPr>
      </w:pPr>
    </w:p>
    <w:bookmarkEnd w:id="164"/>
    <w:p w14:paraId="508AADF6">
      <w:pPr>
        <w:tabs>
          <w:tab w:val="left" w:pos="3420"/>
        </w:tabs>
        <w:spacing w:line="360" w:lineRule="auto"/>
        <w:ind w:firstLine="480"/>
        <w:rPr>
          <w:rStyle w:val="323"/>
          <w:rFonts w:ascii="宋体" w:hAnsi="宋体"/>
          <w:color w:val="000000" w:themeColor="text1"/>
          <w:sz w:val="24"/>
          <w:highlight w:val="none"/>
          <w14:textFill>
            <w14:solidFill>
              <w14:schemeClr w14:val="tx1"/>
            </w14:solidFill>
          </w14:textFill>
        </w:rPr>
      </w:pPr>
    </w:p>
    <w:p w14:paraId="21307842">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附件三</w:t>
      </w:r>
    </w:p>
    <w:p w14:paraId="226ED517">
      <w:pPr>
        <w:rPr>
          <w:rFonts w:hint="default"/>
          <w:color w:val="000000" w:themeColor="text1"/>
          <w:highlight w:val="none"/>
          <w:lang w:val="en-US" w:eastAsia="zh-CN"/>
          <w14:textFill>
            <w14:solidFill>
              <w14:schemeClr w14:val="tx1"/>
            </w14:solidFill>
          </w14:textFill>
        </w:rPr>
      </w:pPr>
    </w:p>
    <w:tbl>
      <w:tblPr>
        <w:tblStyle w:val="62"/>
        <w:tblW w:w="5000" w:type="pct"/>
        <w:tblInd w:w="0" w:type="dxa"/>
        <w:tblLayout w:type="autofit"/>
        <w:tblCellMar>
          <w:top w:w="0" w:type="dxa"/>
          <w:left w:w="108" w:type="dxa"/>
          <w:bottom w:w="0" w:type="dxa"/>
          <w:right w:w="108" w:type="dxa"/>
        </w:tblCellMar>
      </w:tblPr>
      <w:tblGrid>
        <w:gridCol w:w="708"/>
        <w:gridCol w:w="3825"/>
        <w:gridCol w:w="784"/>
        <w:gridCol w:w="2106"/>
        <w:gridCol w:w="1182"/>
        <w:gridCol w:w="661"/>
      </w:tblGrid>
      <w:tr w14:paraId="18C647BA">
        <w:tblPrEx>
          <w:tblCellMar>
            <w:top w:w="0" w:type="dxa"/>
            <w:left w:w="108" w:type="dxa"/>
            <w:bottom w:w="0" w:type="dxa"/>
            <w:right w:w="108" w:type="dxa"/>
          </w:tblCellMar>
        </w:tblPrEx>
        <w:trPr>
          <w:trHeight w:val="676" w:hRule="atLeast"/>
        </w:trPr>
        <w:tc>
          <w:tcPr>
            <w:tcW w:w="5000" w:type="pct"/>
            <w:gridSpan w:val="6"/>
            <w:tcBorders>
              <w:top w:val="single" w:color="000000" w:sz="8" w:space="0"/>
              <w:left w:val="single" w:color="000000" w:sz="8" w:space="0"/>
              <w:bottom w:val="nil"/>
              <w:right w:val="single" w:color="000000" w:sz="8" w:space="0"/>
            </w:tcBorders>
            <w:noWrap w:val="0"/>
            <w:vAlign w:val="center"/>
          </w:tcPr>
          <w:p w14:paraId="0C9C2367">
            <w:pPr>
              <w:widowControl/>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无锡市第二人民医院南北院零星修缮服务项目文明施工考核表</w:t>
            </w:r>
          </w:p>
        </w:tc>
      </w:tr>
      <w:tr w14:paraId="6F428C93">
        <w:tblPrEx>
          <w:tblCellMar>
            <w:top w:w="0" w:type="dxa"/>
            <w:left w:w="108" w:type="dxa"/>
            <w:bottom w:w="0" w:type="dxa"/>
            <w:right w:w="108" w:type="dxa"/>
          </w:tblCellMar>
        </w:tblPrEx>
        <w:trPr>
          <w:trHeight w:val="510" w:hRule="atLeast"/>
        </w:trPr>
        <w:tc>
          <w:tcPr>
            <w:tcW w:w="364" w:type="pct"/>
            <w:tcBorders>
              <w:top w:val="single" w:color="000000" w:sz="4" w:space="0"/>
              <w:left w:val="single" w:color="000000" w:sz="8" w:space="0"/>
              <w:bottom w:val="single" w:color="000000" w:sz="4" w:space="0"/>
              <w:right w:val="single" w:color="000000" w:sz="4" w:space="0"/>
            </w:tcBorders>
            <w:noWrap w:val="0"/>
            <w:vAlign w:val="center"/>
          </w:tcPr>
          <w:p w14:paraId="0782C1F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施工项目 </w:t>
            </w:r>
          </w:p>
        </w:tc>
        <w:tc>
          <w:tcPr>
            <w:tcW w:w="2068" w:type="pct"/>
            <w:tcBorders>
              <w:top w:val="single" w:color="000000" w:sz="4" w:space="0"/>
              <w:left w:val="nil"/>
              <w:bottom w:val="single" w:color="000000" w:sz="4" w:space="0"/>
              <w:right w:val="single" w:color="000000" w:sz="4" w:space="0"/>
            </w:tcBorders>
            <w:noWrap w:val="0"/>
            <w:vAlign w:val="center"/>
          </w:tcPr>
          <w:p w14:paraId="7D9FF4D1">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27" w:type="pct"/>
            <w:tcBorders>
              <w:top w:val="single" w:color="000000" w:sz="4" w:space="0"/>
              <w:left w:val="nil"/>
              <w:bottom w:val="single" w:color="000000" w:sz="4" w:space="0"/>
              <w:right w:val="single" w:color="000000" w:sz="4" w:space="0"/>
            </w:tcBorders>
            <w:noWrap w:val="0"/>
            <w:vAlign w:val="center"/>
          </w:tcPr>
          <w:p w14:paraId="48BA29BB">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施工单位</w:t>
            </w:r>
          </w:p>
        </w:tc>
        <w:tc>
          <w:tcPr>
            <w:tcW w:w="2140" w:type="pct"/>
            <w:gridSpan w:val="3"/>
            <w:tcBorders>
              <w:top w:val="single" w:color="000000" w:sz="4" w:space="0"/>
              <w:left w:val="nil"/>
              <w:bottom w:val="single" w:color="000000" w:sz="4" w:space="0"/>
              <w:right w:val="single" w:color="000000" w:sz="8" w:space="0"/>
            </w:tcBorders>
            <w:noWrap w:val="0"/>
            <w:vAlign w:val="center"/>
          </w:tcPr>
          <w:p w14:paraId="5E5B5E0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AC442AE">
        <w:tblPrEx>
          <w:tblCellMar>
            <w:top w:w="0" w:type="dxa"/>
            <w:left w:w="108" w:type="dxa"/>
            <w:bottom w:w="0" w:type="dxa"/>
            <w:right w:w="108" w:type="dxa"/>
          </w:tblCellMar>
        </w:tblPrEx>
        <w:trPr>
          <w:trHeight w:val="510" w:hRule="atLeast"/>
        </w:trPr>
        <w:tc>
          <w:tcPr>
            <w:tcW w:w="364" w:type="pct"/>
            <w:tcBorders>
              <w:top w:val="nil"/>
              <w:left w:val="single" w:color="000000" w:sz="8" w:space="0"/>
              <w:bottom w:val="single" w:color="000000" w:sz="4" w:space="0"/>
              <w:right w:val="single" w:color="000000" w:sz="4" w:space="0"/>
            </w:tcBorders>
            <w:noWrap w:val="0"/>
            <w:vAlign w:val="center"/>
          </w:tcPr>
          <w:p w14:paraId="69A59C6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考核时间</w:t>
            </w:r>
          </w:p>
        </w:tc>
        <w:tc>
          <w:tcPr>
            <w:tcW w:w="2068" w:type="pct"/>
            <w:tcBorders>
              <w:top w:val="nil"/>
              <w:left w:val="nil"/>
              <w:bottom w:val="single" w:color="000000" w:sz="4" w:space="0"/>
              <w:right w:val="single" w:color="000000" w:sz="4" w:space="0"/>
            </w:tcBorders>
            <w:noWrap w:val="0"/>
            <w:vAlign w:val="center"/>
          </w:tcPr>
          <w:p w14:paraId="7E2D11B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27" w:type="pct"/>
            <w:tcBorders>
              <w:top w:val="nil"/>
              <w:left w:val="nil"/>
              <w:bottom w:val="single" w:color="000000" w:sz="4" w:space="0"/>
              <w:right w:val="single" w:color="000000" w:sz="4" w:space="0"/>
            </w:tcBorders>
            <w:noWrap w:val="0"/>
            <w:vAlign w:val="center"/>
          </w:tcPr>
          <w:p w14:paraId="26ABC101">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考核者</w:t>
            </w:r>
          </w:p>
        </w:tc>
        <w:tc>
          <w:tcPr>
            <w:tcW w:w="1140" w:type="pct"/>
            <w:tcBorders>
              <w:top w:val="nil"/>
              <w:left w:val="nil"/>
              <w:bottom w:val="single" w:color="000000" w:sz="4" w:space="0"/>
              <w:right w:val="single" w:color="000000" w:sz="4" w:space="0"/>
            </w:tcBorders>
            <w:noWrap w:val="0"/>
            <w:vAlign w:val="center"/>
          </w:tcPr>
          <w:p w14:paraId="2F97042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641" w:type="pct"/>
            <w:tcBorders>
              <w:top w:val="nil"/>
              <w:left w:val="nil"/>
              <w:bottom w:val="single" w:color="000000" w:sz="4" w:space="0"/>
              <w:right w:val="single" w:color="000000" w:sz="4" w:space="0"/>
            </w:tcBorders>
            <w:noWrap w:val="0"/>
            <w:vAlign w:val="center"/>
          </w:tcPr>
          <w:p w14:paraId="047C334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考核得分</w:t>
            </w:r>
          </w:p>
        </w:tc>
        <w:tc>
          <w:tcPr>
            <w:tcW w:w="357" w:type="pct"/>
            <w:tcBorders>
              <w:top w:val="nil"/>
              <w:left w:val="nil"/>
              <w:bottom w:val="single" w:color="000000" w:sz="4" w:space="0"/>
              <w:right w:val="single" w:color="000000" w:sz="8" w:space="0"/>
            </w:tcBorders>
            <w:noWrap w:val="0"/>
            <w:vAlign w:val="center"/>
          </w:tcPr>
          <w:p w14:paraId="423F67E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20DE044">
        <w:tblPrEx>
          <w:tblCellMar>
            <w:top w:w="0" w:type="dxa"/>
            <w:left w:w="108" w:type="dxa"/>
            <w:bottom w:w="0" w:type="dxa"/>
            <w:right w:w="108" w:type="dxa"/>
          </w:tblCellMar>
        </w:tblPrEx>
        <w:trPr>
          <w:trHeight w:val="720" w:hRule="atLeast"/>
        </w:trPr>
        <w:tc>
          <w:tcPr>
            <w:tcW w:w="364" w:type="pct"/>
            <w:tcBorders>
              <w:top w:val="nil"/>
              <w:left w:val="single" w:color="000000" w:sz="8" w:space="0"/>
              <w:bottom w:val="single" w:color="000000" w:sz="4" w:space="0"/>
              <w:right w:val="single" w:color="000000" w:sz="4" w:space="0"/>
            </w:tcBorders>
            <w:noWrap w:val="0"/>
            <w:vAlign w:val="center"/>
          </w:tcPr>
          <w:p w14:paraId="7F74C99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考核项目</w:t>
            </w:r>
          </w:p>
        </w:tc>
        <w:tc>
          <w:tcPr>
            <w:tcW w:w="2068" w:type="pct"/>
            <w:tcBorders>
              <w:top w:val="nil"/>
              <w:left w:val="nil"/>
              <w:bottom w:val="single" w:color="000000" w:sz="4" w:space="0"/>
              <w:right w:val="single" w:color="000000" w:sz="4" w:space="0"/>
            </w:tcBorders>
            <w:noWrap w:val="0"/>
            <w:vAlign w:val="center"/>
          </w:tcPr>
          <w:p w14:paraId="4D6D45F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考核内容</w:t>
            </w:r>
          </w:p>
        </w:tc>
        <w:tc>
          <w:tcPr>
            <w:tcW w:w="427" w:type="pct"/>
            <w:tcBorders>
              <w:top w:val="nil"/>
              <w:left w:val="nil"/>
              <w:bottom w:val="single" w:color="000000" w:sz="4" w:space="0"/>
              <w:right w:val="single" w:color="000000" w:sz="4" w:space="0"/>
            </w:tcBorders>
            <w:noWrap w:val="0"/>
            <w:vAlign w:val="center"/>
          </w:tcPr>
          <w:p w14:paraId="6722ED6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分值</w:t>
            </w:r>
          </w:p>
        </w:tc>
        <w:tc>
          <w:tcPr>
            <w:tcW w:w="1140" w:type="pct"/>
            <w:tcBorders>
              <w:top w:val="nil"/>
              <w:left w:val="nil"/>
              <w:bottom w:val="single" w:color="000000" w:sz="4" w:space="0"/>
              <w:right w:val="single" w:color="000000" w:sz="4" w:space="0"/>
            </w:tcBorders>
            <w:noWrap w:val="0"/>
            <w:vAlign w:val="center"/>
          </w:tcPr>
          <w:p w14:paraId="3D951DD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扣分细则</w:t>
            </w:r>
          </w:p>
        </w:tc>
        <w:tc>
          <w:tcPr>
            <w:tcW w:w="641" w:type="pct"/>
            <w:tcBorders>
              <w:top w:val="nil"/>
              <w:left w:val="nil"/>
              <w:bottom w:val="single" w:color="000000" w:sz="4" w:space="0"/>
              <w:right w:val="single" w:color="000000" w:sz="4" w:space="0"/>
            </w:tcBorders>
            <w:noWrap w:val="0"/>
            <w:vAlign w:val="center"/>
          </w:tcPr>
          <w:p w14:paraId="0BC8511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考核扣分及原因</w:t>
            </w:r>
          </w:p>
        </w:tc>
        <w:tc>
          <w:tcPr>
            <w:tcW w:w="357" w:type="pct"/>
            <w:tcBorders>
              <w:top w:val="nil"/>
              <w:left w:val="nil"/>
              <w:bottom w:val="single" w:color="000000" w:sz="4" w:space="0"/>
              <w:right w:val="single" w:color="000000" w:sz="8" w:space="0"/>
            </w:tcBorders>
            <w:noWrap w:val="0"/>
            <w:vAlign w:val="center"/>
          </w:tcPr>
          <w:p w14:paraId="60A2245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得分</w:t>
            </w:r>
          </w:p>
        </w:tc>
      </w:tr>
      <w:tr w14:paraId="19F75BA0">
        <w:tblPrEx>
          <w:tblCellMar>
            <w:top w:w="0" w:type="dxa"/>
            <w:left w:w="108" w:type="dxa"/>
            <w:bottom w:w="0" w:type="dxa"/>
            <w:right w:w="108" w:type="dxa"/>
          </w:tblCellMar>
        </w:tblPrEx>
        <w:trPr>
          <w:cantSplit/>
          <w:trHeight w:val="705" w:hRule="atLeast"/>
        </w:trPr>
        <w:tc>
          <w:tcPr>
            <w:tcW w:w="364" w:type="pct"/>
            <w:vMerge w:val="restart"/>
            <w:tcBorders>
              <w:top w:val="nil"/>
              <w:left w:val="single" w:color="000000" w:sz="8" w:space="0"/>
              <w:bottom w:val="single" w:color="000000" w:sz="4" w:space="0"/>
              <w:right w:val="single" w:color="000000" w:sz="4" w:space="0"/>
            </w:tcBorders>
            <w:noWrap w:val="0"/>
            <w:textDirection w:val="tbRlV"/>
            <w:vAlign w:val="center"/>
          </w:tcPr>
          <w:p w14:paraId="04DE588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文明施工管理</w:t>
            </w:r>
          </w:p>
        </w:tc>
        <w:tc>
          <w:tcPr>
            <w:tcW w:w="2068" w:type="pct"/>
            <w:tcBorders>
              <w:top w:val="nil"/>
              <w:left w:val="nil"/>
              <w:bottom w:val="single" w:color="000000" w:sz="4" w:space="0"/>
              <w:right w:val="single" w:color="000000" w:sz="4" w:space="0"/>
            </w:tcBorders>
            <w:noWrap w:val="0"/>
            <w:vAlign w:val="center"/>
          </w:tcPr>
          <w:p w14:paraId="0DB34AC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遵守医院各项管理制度，并按规定的时间要求准时施工或停工</w:t>
            </w:r>
          </w:p>
        </w:tc>
        <w:tc>
          <w:tcPr>
            <w:tcW w:w="427" w:type="pct"/>
            <w:tcBorders>
              <w:top w:val="nil"/>
              <w:left w:val="nil"/>
              <w:bottom w:val="single" w:color="000000" w:sz="4" w:space="0"/>
              <w:right w:val="single" w:color="000000" w:sz="4" w:space="0"/>
            </w:tcBorders>
            <w:noWrap w:val="0"/>
            <w:vAlign w:val="center"/>
          </w:tcPr>
          <w:p w14:paraId="3210CF0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3D9CEB4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违反制度一次扣2分；不按规定时间施工一次扣2分</w:t>
            </w:r>
          </w:p>
        </w:tc>
        <w:tc>
          <w:tcPr>
            <w:tcW w:w="641" w:type="pct"/>
            <w:tcBorders>
              <w:top w:val="nil"/>
              <w:left w:val="nil"/>
              <w:bottom w:val="single" w:color="000000" w:sz="4" w:space="0"/>
              <w:right w:val="single" w:color="000000" w:sz="4" w:space="0"/>
            </w:tcBorders>
            <w:noWrap w:val="0"/>
            <w:vAlign w:val="center"/>
          </w:tcPr>
          <w:p w14:paraId="42B90A3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5CA526D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268201E">
        <w:tblPrEx>
          <w:tblCellMar>
            <w:top w:w="0" w:type="dxa"/>
            <w:left w:w="108" w:type="dxa"/>
            <w:bottom w:w="0" w:type="dxa"/>
            <w:right w:w="108" w:type="dxa"/>
          </w:tblCellMar>
        </w:tblPrEx>
        <w:trPr>
          <w:cantSplit/>
          <w:trHeight w:val="1448"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17152918">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5B8ABDD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开工前，所有施工区域必须做好临时封闭和隔</w:t>
            </w:r>
            <w:r>
              <w:rPr>
                <w:rFonts w:hint="eastAsia" w:ascii="宋体" w:hAnsi="宋体" w:cs="宋体"/>
                <w:color w:val="000000" w:themeColor="text1"/>
                <w:sz w:val="24"/>
                <w:highlight w:val="none"/>
                <w:lang w:eastAsia="zh-CN"/>
                <w14:textFill>
                  <w14:solidFill>
                    <w14:schemeClr w14:val="tx1"/>
                  </w14:solidFill>
                </w14:textFill>
              </w:rPr>
              <w:t>挡</w:t>
            </w:r>
            <w:r>
              <w:rPr>
                <w:rFonts w:hint="eastAsia" w:ascii="宋体" w:hAnsi="宋体" w:cs="宋体"/>
                <w:color w:val="000000" w:themeColor="text1"/>
                <w:sz w:val="24"/>
                <w:highlight w:val="none"/>
                <w14:textFill>
                  <w14:solidFill>
                    <w14:schemeClr w14:val="tx1"/>
                  </w14:solidFill>
                </w14:textFill>
              </w:rPr>
              <w:t>，并悬挂警示和提醒标识，完成后经院方管理者确认方可施工</w:t>
            </w:r>
          </w:p>
        </w:tc>
        <w:tc>
          <w:tcPr>
            <w:tcW w:w="427" w:type="pct"/>
            <w:tcBorders>
              <w:top w:val="nil"/>
              <w:left w:val="nil"/>
              <w:bottom w:val="single" w:color="000000" w:sz="4" w:space="0"/>
              <w:right w:val="single" w:color="000000" w:sz="4" w:space="0"/>
            </w:tcBorders>
            <w:noWrap w:val="0"/>
            <w:vAlign w:val="center"/>
          </w:tcPr>
          <w:p w14:paraId="16B4DBB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2CB3C88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查出未封闭现场一次扣2分；未悬挂和缺失标识一次扣1分</w:t>
            </w:r>
          </w:p>
        </w:tc>
        <w:tc>
          <w:tcPr>
            <w:tcW w:w="641" w:type="pct"/>
            <w:tcBorders>
              <w:top w:val="nil"/>
              <w:left w:val="nil"/>
              <w:bottom w:val="single" w:color="000000" w:sz="4" w:space="0"/>
              <w:right w:val="single" w:color="000000" w:sz="4" w:space="0"/>
            </w:tcBorders>
            <w:noWrap w:val="0"/>
            <w:vAlign w:val="center"/>
          </w:tcPr>
          <w:p w14:paraId="28B665E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71A8E97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6D5CF31">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27DA5826">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68C3EB6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所有施工人员都必须穿工作服进入施工现场，禁穿外公司工作服</w:t>
            </w:r>
          </w:p>
        </w:tc>
        <w:tc>
          <w:tcPr>
            <w:tcW w:w="427" w:type="pct"/>
            <w:tcBorders>
              <w:top w:val="nil"/>
              <w:left w:val="nil"/>
              <w:bottom w:val="single" w:color="000000" w:sz="4" w:space="0"/>
              <w:right w:val="single" w:color="000000" w:sz="4" w:space="0"/>
            </w:tcBorders>
            <w:noWrap w:val="0"/>
            <w:vAlign w:val="center"/>
          </w:tcPr>
          <w:p w14:paraId="6DA94588">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32AAEE8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未穿工作服每人扣1分</w:t>
            </w:r>
          </w:p>
        </w:tc>
        <w:tc>
          <w:tcPr>
            <w:tcW w:w="641" w:type="pct"/>
            <w:tcBorders>
              <w:top w:val="nil"/>
              <w:left w:val="nil"/>
              <w:bottom w:val="single" w:color="000000" w:sz="4" w:space="0"/>
              <w:right w:val="single" w:color="000000" w:sz="4" w:space="0"/>
            </w:tcBorders>
            <w:noWrap w:val="0"/>
            <w:vAlign w:val="center"/>
          </w:tcPr>
          <w:p w14:paraId="6663826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298C2F5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707614A">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6C911ED6">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566420B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工作时间施工人员不得穿拖鞋，不得赤膊，不得喝酒，严禁吸烟</w:t>
            </w:r>
          </w:p>
        </w:tc>
        <w:tc>
          <w:tcPr>
            <w:tcW w:w="427" w:type="pct"/>
            <w:tcBorders>
              <w:top w:val="nil"/>
              <w:left w:val="nil"/>
              <w:bottom w:val="single" w:color="000000" w:sz="4" w:space="0"/>
              <w:right w:val="single" w:color="000000" w:sz="4" w:space="0"/>
            </w:tcBorders>
            <w:noWrap w:val="0"/>
            <w:vAlign w:val="center"/>
          </w:tcPr>
          <w:p w14:paraId="6128E47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3D9D550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发现一次扣1分；发现一个烟头扣1分</w:t>
            </w:r>
          </w:p>
        </w:tc>
        <w:tc>
          <w:tcPr>
            <w:tcW w:w="641" w:type="pct"/>
            <w:tcBorders>
              <w:top w:val="nil"/>
              <w:left w:val="nil"/>
              <w:bottom w:val="single" w:color="000000" w:sz="4" w:space="0"/>
              <w:right w:val="single" w:color="000000" w:sz="4" w:space="0"/>
            </w:tcBorders>
            <w:noWrap w:val="0"/>
            <w:vAlign w:val="center"/>
          </w:tcPr>
          <w:p w14:paraId="5F48F16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23CAD2D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6482169">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0AA6A4B6">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0DF7A11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施工现场严禁有小孩、未成年人员、非公司相关人员逗留</w:t>
            </w:r>
          </w:p>
        </w:tc>
        <w:tc>
          <w:tcPr>
            <w:tcW w:w="427" w:type="pct"/>
            <w:tcBorders>
              <w:top w:val="nil"/>
              <w:left w:val="nil"/>
              <w:bottom w:val="single" w:color="000000" w:sz="4" w:space="0"/>
              <w:right w:val="single" w:color="000000" w:sz="4" w:space="0"/>
            </w:tcBorders>
            <w:noWrap w:val="0"/>
            <w:vAlign w:val="center"/>
          </w:tcPr>
          <w:p w14:paraId="3F2D312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11A23D4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w:t>
            </w:r>
          </w:p>
        </w:tc>
        <w:tc>
          <w:tcPr>
            <w:tcW w:w="641" w:type="pct"/>
            <w:tcBorders>
              <w:top w:val="nil"/>
              <w:left w:val="nil"/>
              <w:bottom w:val="single" w:color="000000" w:sz="4" w:space="0"/>
              <w:right w:val="single" w:color="000000" w:sz="4" w:space="0"/>
            </w:tcBorders>
            <w:noWrap w:val="0"/>
            <w:vAlign w:val="center"/>
          </w:tcPr>
          <w:p w14:paraId="5E09F01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7E252A5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82BF502">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4BB791F8">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4744317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施工场地材料、工具需堆放有序，不得出现脏、乱、差等现象</w:t>
            </w:r>
          </w:p>
        </w:tc>
        <w:tc>
          <w:tcPr>
            <w:tcW w:w="427" w:type="pct"/>
            <w:tcBorders>
              <w:top w:val="nil"/>
              <w:left w:val="nil"/>
              <w:bottom w:val="single" w:color="000000" w:sz="4" w:space="0"/>
              <w:right w:val="single" w:color="000000" w:sz="4" w:space="0"/>
            </w:tcBorders>
            <w:noWrap w:val="0"/>
            <w:vAlign w:val="center"/>
          </w:tcPr>
          <w:p w14:paraId="3D25E9C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7B3CF0F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w:t>
            </w:r>
          </w:p>
        </w:tc>
        <w:tc>
          <w:tcPr>
            <w:tcW w:w="641" w:type="pct"/>
            <w:tcBorders>
              <w:top w:val="nil"/>
              <w:left w:val="nil"/>
              <w:bottom w:val="single" w:color="000000" w:sz="4" w:space="0"/>
              <w:right w:val="single" w:color="000000" w:sz="4" w:space="0"/>
            </w:tcBorders>
            <w:noWrap w:val="0"/>
            <w:vAlign w:val="center"/>
          </w:tcPr>
          <w:p w14:paraId="17B3971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2BF91AB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36A6FB01">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7E0A8DFD">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30CB267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严禁在工地聚众赌博，酗酒闹事及其它违法违规事件</w:t>
            </w:r>
          </w:p>
        </w:tc>
        <w:tc>
          <w:tcPr>
            <w:tcW w:w="427" w:type="pct"/>
            <w:tcBorders>
              <w:top w:val="nil"/>
              <w:left w:val="nil"/>
              <w:bottom w:val="single" w:color="000000" w:sz="4" w:space="0"/>
              <w:right w:val="single" w:color="000000" w:sz="4" w:space="0"/>
            </w:tcBorders>
            <w:noWrap w:val="0"/>
            <w:vAlign w:val="center"/>
          </w:tcPr>
          <w:p w14:paraId="1DE690B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75B52D5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发现一次扣5分</w:t>
            </w:r>
          </w:p>
        </w:tc>
        <w:tc>
          <w:tcPr>
            <w:tcW w:w="641" w:type="pct"/>
            <w:tcBorders>
              <w:top w:val="nil"/>
              <w:left w:val="nil"/>
              <w:bottom w:val="single" w:color="000000" w:sz="4" w:space="0"/>
              <w:right w:val="single" w:color="000000" w:sz="4" w:space="0"/>
            </w:tcBorders>
            <w:noWrap w:val="0"/>
            <w:vAlign w:val="center"/>
          </w:tcPr>
          <w:p w14:paraId="2F07C76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4F8A942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99E32CA">
        <w:tblPrEx>
          <w:tblCellMar>
            <w:top w:w="0" w:type="dxa"/>
            <w:left w:w="108" w:type="dxa"/>
            <w:bottom w:w="0" w:type="dxa"/>
            <w:right w:w="108" w:type="dxa"/>
          </w:tblCellMar>
        </w:tblPrEx>
        <w:trPr>
          <w:cantSplit/>
          <w:trHeight w:val="105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243E9DD7">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07CE649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施工现场要保持清洁的常态化，各类垃圾和废弃物及时清理，并做到垃圾袋装化，在院方指定地点堆放</w:t>
            </w:r>
          </w:p>
        </w:tc>
        <w:tc>
          <w:tcPr>
            <w:tcW w:w="427" w:type="pct"/>
            <w:tcBorders>
              <w:top w:val="nil"/>
              <w:left w:val="nil"/>
              <w:bottom w:val="single" w:color="000000" w:sz="4" w:space="0"/>
              <w:right w:val="single" w:color="000000" w:sz="4" w:space="0"/>
            </w:tcBorders>
            <w:noWrap w:val="0"/>
            <w:vAlign w:val="center"/>
          </w:tcPr>
          <w:p w14:paraId="1F0FBA69">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5670194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41" w:type="pct"/>
            <w:tcBorders>
              <w:top w:val="nil"/>
              <w:left w:val="nil"/>
              <w:bottom w:val="single" w:color="000000" w:sz="4" w:space="0"/>
              <w:right w:val="single" w:color="000000" w:sz="4" w:space="0"/>
            </w:tcBorders>
            <w:noWrap w:val="0"/>
            <w:vAlign w:val="center"/>
          </w:tcPr>
          <w:p w14:paraId="5BC1BF9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16F935F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A0E2CE9">
        <w:tblPrEx>
          <w:tblCellMar>
            <w:top w:w="0" w:type="dxa"/>
            <w:left w:w="108" w:type="dxa"/>
            <w:bottom w:w="0" w:type="dxa"/>
            <w:right w:w="108" w:type="dxa"/>
          </w:tblCellMar>
        </w:tblPrEx>
        <w:trPr>
          <w:cantSplit/>
          <w:trHeight w:val="180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73F02807">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661CC32C">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人员有责任与义务做好成品保护工作，不得踩压、靠坐工程制品（包括半制品、购买成品），或在上放置、吊挂、粘贴物品；对于甲方放置在现场的物品做好保管，不得发生浸泡、暴晒、弃置、故意破坏等不负责任的现象</w:t>
            </w:r>
          </w:p>
        </w:tc>
        <w:tc>
          <w:tcPr>
            <w:tcW w:w="427" w:type="pct"/>
            <w:tcBorders>
              <w:top w:val="nil"/>
              <w:left w:val="nil"/>
              <w:bottom w:val="single" w:color="000000" w:sz="4" w:space="0"/>
              <w:right w:val="single" w:color="000000" w:sz="4" w:space="0"/>
            </w:tcBorders>
            <w:noWrap w:val="0"/>
            <w:vAlign w:val="center"/>
          </w:tcPr>
          <w:p w14:paraId="2D819D12">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1A90604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发现一次扣1分</w:t>
            </w:r>
          </w:p>
        </w:tc>
        <w:tc>
          <w:tcPr>
            <w:tcW w:w="641" w:type="pct"/>
            <w:tcBorders>
              <w:top w:val="nil"/>
              <w:left w:val="nil"/>
              <w:bottom w:val="single" w:color="000000" w:sz="4" w:space="0"/>
              <w:right w:val="single" w:color="000000" w:sz="4" w:space="0"/>
            </w:tcBorders>
            <w:noWrap w:val="0"/>
            <w:vAlign w:val="center"/>
          </w:tcPr>
          <w:p w14:paraId="7A549D4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7A07AB4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C89E932">
        <w:tblPrEx>
          <w:tblCellMar>
            <w:top w:w="0" w:type="dxa"/>
            <w:left w:w="108" w:type="dxa"/>
            <w:bottom w:w="0" w:type="dxa"/>
            <w:right w:w="108" w:type="dxa"/>
          </w:tblCellMar>
        </w:tblPrEx>
        <w:trPr>
          <w:cantSplit/>
          <w:trHeight w:val="675"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2B3BC33B">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5AFC2DA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严禁随手向室外乱抛杂物，油漆稀料不得倒入下水管道</w:t>
            </w:r>
          </w:p>
        </w:tc>
        <w:tc>
          <w:tcPr>
            <w:tcW w:w="427" w:type="pct"/>
            <w:tcBorders>
              <w:top w:val="nil"/>
              <w:left w:val="nil"/>
              <w:bottom w:val="single" w:color="000000" w:sz="4" w:space="0"/>
              <w:right w:val="single" w:color="000000" w:sz="4" w:space="0"/>
            </w:tcBorders>
            <w:noWrap w:val="0"/>
            <w:vAlign w:val="center"/>
          </w:tcPr>
          <w:p w14:paraId="3D9C4F21">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625EE2B7">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发现一次扣2分，发现2次扣5分</w:t>
            </w:r>
          </w:p>
        </w:tc>
        <w:tc>
          <w:tcPr>
            <w:tcW w:w="641" w:type="pct"/>
            <w:tcBorders>
              <w:top w:val="nil"/>
              <w:left w:val="nil"/>
              <w:bottom w:val="single" w:color="000000" w:sz="4" w:space="0"/>
              <w:right w:val="single" w:color="000000" w:sz="4" w:space="0"/>
            </w:tcBorders>
            <w:noWrap w:val="0"/>
            <w:vAlign w:val="center"/>
          </w:tcPr>
          <w:p w14:paraId="14B7E88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1D97F5B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F2F3799">
        <w:tblPrEx>
          <w:tblCellMar>
            <w:top w:w="0" w:type="dxa"/>
            <w:left w:w="108" w:type="dxa"/>
            <w:bottom w:w="0" w:type="dxa"/>
            <w:right w:w="108" w:type="dxa"/>
          </w:tblCellMar>
        </w:tblPrEx>
        <w:trPr>
          <w:cantSplit/>
          <w:trHeight w:val="870"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0525FC33">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5272F01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工程每日结束后，施工人员离开工地时应关好门窗，并切断区域内电源、水源和空调</w:t>
            </w:r>
          </w:p>
        </w:tc>
        <w:tc>
          <w:tcPr>
            <w:tcW w:w="427" w:type="pct"/>
            <w:tcBorders>
              <w:top w:val="nil"/>
              <w:left w:val="nil"/>
              <w:bottom w:val="single" w:color="000000" w:sz="4" w:space="0"/>
              <w:right w:val="single" w:color="000000" w:sz="4" w:space="0"/>
            </w:tcBorders>
            <w:noWrap w:val="0"/>
            <w:vAlign w:val="center"/>
          </w:tcPr>
          <w:p w14:paraId="55AA2B8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1140" w:type="pct"/>
            <w:tcBorders>
              <w:top w:val="nil"/>
              <w:left w:val="nil"/>
              <w:bottom w:val="single" w:color="000000" w:sz="4" w:space="0"/>
              <w:right w:val="single" w:color="000000" w:sz="4" w:space="0"/>
            </w:tcBorders>
            <w:noWrap w:val="0"/>
            <w:vAlign w:val="center"/>
          </w:tcPr>
          <w:p w14:paraId="5F28910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41" w:type="pct"/>
            <w:tcBorders>
              <w:top w:val="nil"/>
              <w:left w:val="nil"/>
              <w:bottom w:val="single" w:color="000000" w:sz="4" w:space="0"/>
              <w:right w:val="single" w:color="000000" w:sz="4" w:space="0"/>
            </w:tcBorders>
            <w:noWrap w:val="0"/>
            <w:vAlign w:val="center"/>
          </w:tcPr>
          <w:p w14:paraId="1BEDAD8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3EBC2DA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36A0C50A">
        <w:tblPrEx>
          <w:tblCellMar>
            <w:top w:w="0" w:type="dxa"/>
            <w:left w:w="108" w:type="dxa"/>
            <w:bottom w:w="0" w:type="dxa"/>
            <w:right w:w="108" w:type="dxa"/>
          </w:tblCellMar>
        </w:tblPrEx>
        <w:trPr>
          <w:cantSplit/>
          <w:trHeight w:val="1185" w:hRule="atLeast"/>
        </w:trPr>
        <w:tc>
          <w:tcPr>
            <w:tcW w:w="364" w:type="pct"/>
            <w:vMerge w:val="continue"/>
            <w:tcBorders>
              <w:top w:val="nil"/>
              <w:left w:val="single" w:color="000000" w:sz="8" w:space="0"/>
              <w:bottom w:val="single" w:color="000000" w:sz="4" w:space="0"/>
              <w:right w:val="single" w:color="000000" w:sz="4" w:space="0"/>
            </w:tcBorders>
            <w:noWrap w:val="0"/>
            <w:vAlign w:val="center"/>
          </w:tcPr>
          <w:p w14:paraId="5A6A9150">
            <w:pPr>
              <w:widowControl/>
              <w:spacing w:line="360" w:lineRule="auto"/>
              <w:rPr>
                <w:rFonts w:ascii="宋体" w:hAnsi="宋体" w:cs="宋体"/>
                <w:color w:val="000000" w:themeColor="text1"/>
                <w:sz w:val="24"/>
                <w:highlight w:val="none"/>
                <w14:textFill>
                  <w14:solidFill>
                    <w14:schemeClr w14:val="tx1"/>
                  </w14:solidFill>
                </w14:textFill>
              </w:rPr>
            </w:pPr>
          </w:p>
        </w:tc>
        <w:tc>
          <w:tcPr>
            <w:tcW w:w="2068" w:type="pct"/>
            <w:tcBorders>
              <w:top w:val="nil"/>
              <w:left w:val="nil"/>
              <w:bottom w:val="single" w:color="000000" w:sz="4" w:space="0"/>
              <w:right w:val="single" w:color="000000" w:sz="4" w:space="0"/>
            </w:tcBorders>
            <w:noWrap w:val="0"/>
            <w:vAlign w:val="center"/>
          </w:tcPr>
          <w:p w14:paraId="0D70877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施工人员必须礼貌接待院方工作人员，严禁与医护人员等发生争吵</w:t>
            </w:r>
          </w:p>
        </w:tc>
        <w:tc>
          <w:tcPr>
            <w:tcW w:w="427" w:type="pct"/>
            <w:tcBorders>
              <w:top w:val="nil"/>
              <w:left w:val="nil"/>
              <w:bottom w:val="single" w:color="000000" w:sz="4" w:space="0"/>
              <w:right w:val="single" w:color="000000" w:sz="4" w:space="0"/>
            </w:tcBorders>
            <w:noWrap w:val="0"/>
            <w:vAlign w:val="center"/>
          </w:tcPr>
          <w:p w14:paraId="2E0A370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1140" w:type="pct"/>
            <w:tcBorders>
              <w:top w:val="nil"/>
              <w:left w:val="nil"/>
              <w:bottom w:val="single" w:color="000000" w:sz="4" w:space="0"/>
              <w:right w:val="single" w:color="000000" w:sz="4" w:space="0"/>
            </w:tcBorders>
            <w:noWrap w:val="0"/>
            <w:vAlign w:val="center"/>
          </w:tcPr>
          <w:p w14:paraId="620832E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未做到礼貌接待一次扣0.5分，发生争吵一次扣5分</w:t>
            </w:r>
          </w:p>
        </w:tc>
        <w:tc>
          <w:tcPr>
            <w:tcW w:w="641" w:type="pct"/>
            <w:tcBorders>
              <w:top w:val="nil"/>
              <w:left w:val="nil"/>
              <w:bottom w:val="single" w:color="000000" w:sz="4" w:space="0"/>
              <w:right w:val="single" w:color="000000" w:sz="4" w:space="0"/>
            </w:tcBorders>
            <w:noWrap w:val="0"/>
            <w:vAlign w:val="center"/>
          </w:tcPr>
          <w:p w14:paraId="0C0E337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357" w:type="pct"/>
            <w:tcBorders>
              <w:top w:val="nil"/>
              <w:left w:val="nil"/>
              <w:bottom w:val="single" w:color="000000" w:sz="4" w:space="0"/>
              <w:right w:val="single" w:color="000000" w:sz="8" w:space="0"/>
            </w:tcBorders>
            <w:noWrap w:val="0"/>
            <w:vAlign w:val="center"/>
          </w:tcPr>
          <w:p w14:paraId="3A37E39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0E95E6B">
        <w:tblPrEx>
          <w:tblCellMar>
            <w:top w:w="0" w:type="dxa"/>
            <w:left w:w="108" w:type="dxa"/>
            <w:bottom w:w="0" w:type="dxa"/>
            <w:right w:w="108" w:type="dxa"/>
          </w:tblCellMar>
        </w:tblPrEx>
        <w:trPr>
          <w:trHeight w:val="465" w:hRule="atLeast"/>
        </w:trPr>
        <w:tc>
          <w:tcPr>
            <w:tcW w:w="364" w:type="pct"/>
            <w:tcBorders>
              <w:top w:val="nil"/>
              <w:left w:val="single" w:color="000000" w:sz="8" w:space="0"/>
              <w:bottom w:val="single" w:color="000000" w:sz="4" w:space="0"/>
              <w:right w:val="single" w:color="000000" w:sz="4" w:space="0"/>
            </w:tcBorders>
            <w:noWrap w:val="0"/>
            <w:vAlign w:val="center"/>
          </w:tcPr>
          <w:p w14:paraId="6D7B29B5">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合计</w:t>
            </w:r>
          </w:p>
        </w:tc>
        <w:tc>
          <w:tcPr>
            <w:tcW w:w="2068" w:type="pct"/>
            <w:tcBorders>
              <w:top w:val="nil"/>
              <w:left w:val="nil"/>
              <w:bottom w:val="single" w:color="000000" w:sz="4" w:space="0"/>
              <w:right w:val="single" w:color="000000" w:sz="4" w:space="0"/>
            </w:tcBorders>
            <w:noWrap w:val="0"/>
            <w:vAlign w:val="center"/>
          </w:tcPr>
          <w:p w14:paraId="1762B35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27" w:type="pct"/>
            <w:tcBorders>
              <w:top w:val="nil"/>
              <w:left w:val="nil"/>
              <w:bottom w:val="single" w:color="000000" w:sz="4" w:space="0"/>
              <w:right w:val="single" w:color="000000" w:sz="4" w:space="0"/>
            </w:tcBorders>
            <w:noWrap w:val="0"/>
            <w:vAlign w:val="center"/>
          </w:tcPr>
          <w:p w14:paraId="0D48F34C">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100</w:t>
            </w:r>
          </w:p>
        </w:tc>
        <w:tc>
          <w:tcPr>
            <w:tcW w:w="1140" w:type="pct"/>
            <w:tcBorders>
              <w:top w:val="nil"/>
              <w:left w:val="nil"/>
              <w:bottom w:val="single" w:color="000000" w:sz="4" w:space="0"/>
              <w:right w:val="single" w:color="000000" w:sz="4" w:space="0"/>
            </w:tcBorders>
            <w:noWrap w:val="0"/>
            <w:vAlign w:val="center"/>
          </w:tcPr>
          <w:p w14:paraId="693EE0F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99" w:type="pct"/>
            <w:gridSpan w:val="2"/>
            <w:tcBorders>
              <w:top w:val="single" w:color="000000" w:sz="4" w:space="0"/>
              <w:left w:val="nil"/>
              <w:bottom w:val="single" w:color="000000" w:sz="4" w:space="0"/>
              <w:right w:val="single" w:color="000000" w:sz="8" w:space="0"/>
            </w:tcBorders>
            <w:noWrap w:val="0"/>
            <w:vAlign w:val="center"/>
          </w:tcPr>
          <w:p w14:paraId="6C2D6B9F">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E4F82F1">
        <w:tblPrEx>
          <w:tblCellMar>
            <w:top w:w="0" w:type="dxa"/>
            <w:left w:w="108" w:type="dxa"/>
            <w:bottom w:w="0" w:type="dxa"/>
            <w:right w:w="108" w:type="dxa"/>
          </w:tblCellMar>
        </w:tblPrEx>
        <w:trPr>
          <w:trHeight w:val="703" w:hRule="atLeast"/>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2E01C871">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说明</w:t>
            </w:r>
          </w:p>
        </w:tc>
        <w:tc>
          <w:tcPr>
            <w:tcW w:w="4635" w:type="pct"/>
            <w:gridSpan w:val="5"/>
            <w:tcBorders>
              <w:top w:val="single" w:color="000000" w:sz="4" w:space="0"/>
              <w:left w:val="single" w:color="000000" w:sz="4" w:space="0"/>
              <w:bottom w:val="single" w:color="000000" w:sz="4" w:space="0"/>
              <w:right w:val="single" w:color="000000" w:sz="4" w:space="0"/>
            </w:tcBorders>
            <w:noWrap w:val="0"/>
            <w:vAlign w:val="center"/>
          </w:tcPr>
          <w:p w14:paraId="4F7A814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项目</w:t>
            </w:r>
            <w:r>
              <w:rPr>
                <w:color w:val="000000" w:themeColor="text1"/>
                <w:sz w:val="24"/>
                <w:highlight w:val="none"/>
                <w14:textFill>
                  <w14:solidFill>
                    <w14:schemeClr w14:val="tx1"/>
                  </w14:solidFill>
                </w14:textFill>
              </w:rPr>
              <w:t>结算时</w:t>
            </w:r>
            <w:r>
              <w:rPr>
                <w:rFonts w:hint="eastAsia"/>
                <w:color w:val="000000" w:themeColor="text1"/>
                <w:sz w:val="24"/>
                <w:highlight w:val="none"/>
                <w14:textFill>
                  <w14:solidFill>
                    <w14:schemeClr w14:val="tx1"/>
                  </w14:solidFill>
                </w14:textFill>
              </w:rPr>
              <w:t>费用与考评得分挂钩，高于95分不扣工程费用；扣满5分后，每扣一分，扣款200元；扣满10分后，每扣一分，扣款500元</w:t>
            </w:r>
          </w:p>
        </w:tc>
      </w:tr>
    </w:tbl>
    <w:p w14:paraId="1DB9A0F7">
      <w:pPr>
        <w:widowControl/>
        <w:shd w:val="clear" w:color="auto" w:fill="FFFFFF"/>
        <w:spacing w:line="560" w:lineRule="exact"/>
        <w:ind w:firstLine="840"/>
        <w:jc w:val="left"/>
        <w:rPr>
          <w:rFonts w:hint="eastAsia" w:ascii="宋体" w:hAnsi="宋体" w:eastAsia="宋体" w:cs="宋体"/>
          <w:color w:val="000000" w:themeColor="text1"/>
          <w:sz w:val="28"/>
          <w:szCs w:val="28"/>
          <w:highlight w:val="none"/>
          <w14:textFill>
            <w14:solidFill>
              <w14:schemeClr w14:val="tx1"/>
            </w14:solidFill>
          </w14:textFill>
        </w:rPr>
      </w:pPr>
    </w:p>
    <w:p w14:paraId="44D242CF">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r>
        <w:rPr>
          <w:rFonts w:hint="eastAsia"/>
          <w:color w:val="000000" w:themeColor="text1"/>
          <w:highlight w:val="none"/>
          <w:lang w:val="en-US" w:eastAsia="zh-CN"/>
          <w14:textFill>
            <w14:solidFill>
              <w14:schemeClr w14:val="tx1"/>
            </w14:solidFill>
          </w14:textFill>
        </w:rPr>
        <w:t>附件四</w:t>
      </w:r>
    </w:p>
    <w:tbl>
      <w:tblPr>
        <w:tblStyle w:val="62"/>
        <w:tblpPr w:leftFromText="180" w:rightFromText="180" w:vertAnchor="text" w:horzAnchor="page" w:tblpX="1625" w:tblpY="420"/>
        <w:tblOverlap w:val="never"/>
        <w:tblW w:w="5000" w:type="pct"/>
        <w:tblInd w:w="0" w:type="dxa"/>
        <w:tblLayout w:type="autofit"/>
        <w:tblCellMar>
          <w:top w:w="0" w:type="dxa"/>
          <w:left w:w="108" w:type="dxa"/>
          <w:bottom w:w="0" w:type="dxa"/>
          <w:right w:w="108" w:type="dxa"/>
        </w:tblCellMar>
      </w:tblPr>
      <w:tblGrid>
        <w:gridCol w:w="708"/>
        <w:gridCol w:w="4031"/>
        <w:gridCol w:w="1107"/>
        <w:gridCol w:w="1314"/>
        <w:gridCol w:w="1182"/>
        <w:gridCol w:w="924"/>
      </w:tblGrid>
      <w:tr w14:paraId="6BD86C82">
        <w:tblPrEx>
          <w:tblCellMar>
            <w:top w:w="0" w:type="dxa"/>
            <w:left w:w="108" w:type="dxa"/>
            <w:bottom w:w="0" w:type="dxa"/>
            <w:right w:w="108" w:type="dxa"/>
          </w:tblCellMar>
        </w:tblPrEx>
        <w:trPr>
          <w:trHeight w:val="553" w:hRule="atLeast"/>
        </w:trPr>
        <w:tc>
          <w:tcPr>
            <w:tcW w:w="5000" w:type="pct"/>
            <w:gridSpan w:val="6"/>
            <w:tcBorders>
              <w:top w:val="single" w:color="000000" w:sz="8" w:space="0"/>
              <w:left w:val="single" w:color="000000" w:sz="8" w:space="0"/>
              <w:bottom w:val="nil"/>
              <w:right w:val="single" w:color="000000" w:sz="8" w:space="0"/>
            </w:tcBorders>
            <w:noWrap w:val="0"/>
            <w:vAlign w:val="center"/>
          </w:tcPr>
          <w:p w14:paraId="7C97EFA2">
            <w:pPr>
              <w:widowControl/>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无锡市第二人民医院南北院零星修缮服务项目安全施工考核表</w:t>
            </w:r>
          </w:p>
        </w:tc>
      </w:tr>
      <w:tr w14:paraId="6EDE2B8A">
        <w:tblPrEx>
          <w:tblCellMar>
            <w:top w:w="0" w:type="dxa"/>
            <w:left w:w="108" w:type="dxa"/>
            <w:bottom w:w="0" w:type="dxa"/>
            <w:right w:w="108" w:type="dxa"/>
          </w:tblCellMar>
        </w:tblPrEx>
        <w:trPr>
          <w:trHeight w:val="510" w:hRule="atLeast"/>
        </w:trPr>
        <w:tc>
          <w:tcPr>
            <w:tcW w:w="364" w:type="pct"/>
            <w:tcBorders>
              <w:top w:val="single" w:color="000000" w:sz="4" w:space="0"/>
              <w:left w:val="single" w:color="000000" w:sz="8" w:space="0"/>
              <w:bottom w:val="single" w:color="000000" w:sz="4" w:space="0"/>
              <w:right w:val="single" w:color="000000" w:sz="4" w:space="0"/>
            </w:tcBorders>
            <w:noWrap w:val="0"/>
            <w:vAlign w:val="center"/>
          </w:tcPr>
          <w:p w14:paraId="6228206C">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施工项目 </w:t>
            </w:r>
          </w:p>
        </w:tc>
        <w:tc>
          <w:tcPr>
            <w:tcW w:w="2179" w:type="pct"/>
            <w:tcBorders>
              <w:top w:val="single" w:color="000000" w:sz="4" w:space="0"/>
              <w:left w:val="nil"/>
              <w:bottom w:val="single" w:color="000000" w:sz="4" w:space="0"/>
              <w:right w:val="single" w:color="000000" w:sz="4" w:space="0"/>
            </w:tcBorders>
            <w:noWrap w:val="0"/>
            <w:vAlign w:val="center"/>
          </w:tcPr>
          <w:p w14:paraId="24B0DC2D">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601" w:type="pct"/>
            <w:tcBorders>
              <w:top w:val="single" w:color="000000" w:sz="4" w:space="0"/>
              <w:left w:val="nil"/>
              <w:bottom w:val="single" w:color="000000" w:sz="4" w:space="0"/>
              <w:right w:val="single" w:color="000000" w:sz="4" w:space="0"/>
            </w:tcBorders>
            <w:noWrap w:val="0"/>
            <w:vAlign w:val="center"/>
          </w:tcPr>
          <w:p w14:paraId="0CDB130D">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施工单位</w:t>
            </w:r>
          </w:p>
        </w:tc>
        <w:tc>
          <w:tcPr>
            <w:tcW w:w="1854" w:type="pct"/>
            <w:gridSpan w:val="3"/>
            <w:tcBorders>
              <w:top w:val="single" w:color="000000" w:sz="4" w:space="0"/>
              <w:left w:val="nil"/>
              <w:bottom w:val="single" w:color="000000" w:sz="4" w:space="0"/>
              <w:right w:val="single" w:color="000000" w:sz="8" w:space="0"/>
            </w:tcBorders>
            <w:noWrap w:val="0"/>
            <w:vAlign w:val="center"/>
          </w:tcPr>
          <w:p w14:paraId="568FBDB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5A8148E">
        <w:tblPrEx>
          <w:tblCellMar>
            <w:top w:w="0" w:type="dxa"/>
            <w:left w:w="108" w:type="dxa"/>
            <w:bottom w:w="0" w:type="dxa"/>
            <w:right w:w="108" w:type="dxa"/>
          </w:tblCellMar>
        </w:tblPrEx>
        <w:trPr>
          <w:trHeight w:val="510" w:hRule="atLeast"/>
        </w:trPr>
        <w:tc>
          <w:tcPr>
            <w:tcW w:w="364" w:type="pct"/>
            <w:tcBorders>
              <w:top w:val="nil"/>
              <w:left w:val="single" w:color="000000" w:sz="8" w:space="0"/>
              <w:bottom w:val="single" w:color="000000" w:sz="4" w:space="0"/>
              <w:right w:val="single" w:color="000000" w:sz="4" w:space="0"/>
            </w:tcBorders>
            <w:noWrap w:val="0"/>
            <w:vAlign w:val="center"/>
          </w:tcPr>
          <w:p w14:paraId="256EBF3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考核时间</w:t>
            </w:r>
          </w:p>
        </w:tc>
        <w:tc>
          <w:tcPr>
            <w:tcW w:w="2179" w:type="pct"/>
            <w:tcBorders>
              <w:top w:val="nil"/>
              <w:left w:val="nil"/>
              <w:bottom w:val="single" w:color="000000" w:sz="4" w:space="0"/>
              <w:right w:val="single" w:color="000000" w:sz="4" w:space="0"/>
            </w:tcBorders>
            <w:noWrap w:val="0"/>
            <w:vAlign w:val="center"/>
          </w:tcPr>
          <w:p w14:paraId="6E34CF2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601" w:type="pct"/>
            <w:tcBorders>
              <w:top w:val="nil"/>
              <w:left w:val="nil"/>
              <w:bottom w:val="single" w:color="000000" w:sz="4" w:space="0"/>
              <w:right w:val="single" w:color="000000" w:sz="4" w:space="0"/>
            </w:tcBorders>
            <w:noWrap w:val="0"/>
            <w:vAlign w:val="center"/>
          </w:tcPr>
          <w:p w14:paraId="1C7E9EB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考核者</w:t>
            </w:r>
          </w:p>
        </w:tc>
        <w:tc>
          <w:tcPr>
            <w:tcW w:w="713" w:type="pct"/>
            <w:tcBorders>
              <w:top w:val="nil"/>
              <w:left w:val="nil"/>
              <w:bottom w:val="single" w:color="000000" w:sz="4" w:space="0"/>
              <w:right w:val="single" w:color="000000" w:sz="4" w:space="0"/>
            </w:tcBorders>
            <w:noWrap w:val="0"/>
            <w:vAlign w:val="center"/>
          </w:tcPr>
          <w:p w14:paraId="6DB1C60C">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641" w:type="pct"/>
            <w:tcBorders>
              <w:top w:val="nil"/>
              <w:left w:val="nil"/>
              <w:bottom w:val="single" w:color="000000" w:sz="4" w:space="0"/>
              <w:right w:val="single" w:color="000000" w:sz="4" w:space="0"/>
            </w:tcBorders>
            <w:noWrap w:val="0"/>
            <w:vAlign w:val="center"/>
          </w:tcPr>
          <w:p w14:paraId="53B99B5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考核得分</w:t>
            </w:r>
          </w:p>
        </w:tc>
        <w:tc>
          <w:tcPr>
            <w:tcW w:w="499" w:type="pct"/>
            <w:tcBorders>
              <w:top w:val="nil"/>
              <w:left w:val="nil"/>
              <w:bottom w:val="single" w:color="000000" w:sz="4" w:space="0"/>
              <w:right w:val="single" w:color="000000" w:sz="8" w:space="0"/>
            </w:tcBorders>
            <w:noWrap w:val="0"/>
            <w:vAlign w:val="center"/>
          </w:tcPr>
          <w:p w14:paraId="497F3215">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8FB450D">
        <w:tblPrEx>
          <w:tblCellMar>
            <w:top w:w="0" w:type="dxa"/>
            <w:left w:w="108" w:type="dxa"/>
            <w:bottom w:w="0" w:type="dxa"/>
            <w:right w:w="108" w:type="dxa"/>
          </w:tblCellMar>
        </w:tblPrEx>
        <w:trPr>
          <w:trHeight w:val="720" w:hRule="atLeast"/>
        </w:trPr>
        <w:tc>
          <w:tcPr>
            <w:tcW w:w="364" w:type="pct"/>
            <w:tcBorders>
              <w:top w:val="nil"/>
              <w:left w:val="single" w:color="000000" w:sz="8" w:space="0"/>
              <w:bottom w:val="single" w:color="000000" w:sz="4" w:space="0"/>
              <w:right w:val="single" w:color="000000" w:sz="4" w:space="0"/>
            </w:tcBorders>
            <w:noWrap w:val="0"/>
            <w:vAlign w:val="center"/>
          </w:tcPr>
          <w:p w14:paraId="563CC7E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考核项目</w:t>
            </w:r>
          </w:p>
        </w:tc>
        <w:tc>
          <w:tcPr>
            <w:tcW w:w="2179" w:type="pct"/>
            <w:tcBorders>
              <w:top w:val="nil"/>
              <w:left w:val="nil"/>
              <w:bottom w:val="single" w:color="000000" w:sz="4" w:space="0"/>
              <w:right w:val="single" w:color="000000" w:sz="4" w:space="0"/>
            </w:tcBorders>
            <w:noWrap w:val="0"/>
            <w:vAlign w:val="center"/>
          </w:tcPr>
          <w:p w14:paraId="0CB81C6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考核内容</w:t>
            </w:r>
          </w:p>
        </w:tc>
        <w:tc>
          <w:tcPr>
            <w:tcW w:w="601" w:type="pct"/>
            <w:tcBorders>
              <w:top w:val="nil"/>
              <w:left w:val="nil"/>
              <w:bottom w:val="single" w:color="000000" w:sz="4" w:space="0"/>
              <w:right w:val="single" w:color="000000" w:sz="4" w:space="0"/>
            </w:tcBorders>
            <w:noWrap w:val="0"/>
            <w:vAlign w:val="center"/>
          </w:tcPr>
          <w:p w14:paraId="5C6D2A38">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分值</w:t>
            </w:r>
          </w:p>
        </w:tc>
        <w:tc>
          <w:tcPr>
            <w:tcW w:w="713" w:type="pct"/>
            <w:tcBorders>
              <w:top w:val="nil"/>
              <w:left w:val="nil"/>
              <w:bottom w:val="single" w:color="000000" w:sz="4" w:space="0"/>
              <w:right w:val="single" w:color="000000" w:sz="4" w:space="0"/>
            </w:tcBorders>
            <w:noWrap w:val="0"/>
            <w:vAlign w:val="center"/>
          </w:tcPr>
          <w:p w14:paraId="6993190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扣分细则</w:t>
            </w:r>
          </w:p>
        </w:tc>
        <w:tc>
          <w:tcPr>
            <w:tcW w:w="641" w:type="pct"/>
            <w:tcBorders>
              <w:top w:val="nil"/>
              <w:left w:val="nil"/>
              <w:bottom w:val="single" w:color="000000" w:sz="4" w:space="0"/>
              <w:right w:val="single" w:color="000000" w:sz="4" w:space="0"/>
            </w:tcBorders>
            <w:noWrap w:val="0"/>
            <w:vAlign w:val="center"/>
          </w:tcPr>
          <w:p w14:paraId="3C01BC5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考核扣分及原因</w:t>
            </w:r>
          </w:p>
        </w:tc>
        <w:tc>
          <w:tcPr>
            <w:tcW w:w="499" w:type="pct"/>
            <w:tcBorders>
              <w:top w:val="nil"/>
              <w:left w:val="nil"/>
              <w:bottom w:val="single" w:color="000000" w:sz="4" w:space="0"/>
              <w:right w:val="single" w:color="000000" w:sz="8" w:space="0"/>
            </w:tcBorders>
            <w:noWrap w:val="0"/>
            <w:vAlign w:val="center"/>
          </w:tcPr>
          <w:p w14:paraId="6D0A9C1B">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得分</w:t>
            </w:r>
          </w:p>
        </w:tc>
      </w:tr>
      <w:tr w14:paraId="2BD916C3">
        <w:tblPrEx>
          <w:tblCellMar>
            <w:top w:w="0" w:type="dxa"/>
            <w:left w:w="108" w:type="dxa"/>
            <w:bottom w:w="0" w:type="dxa"/>
            <w:right w:w="108" w:type="dxa"/>
          </w:tblCellMar>
        </w:tblPrEx>
        <w:trPr>
          <w:cantSplit/>
          <w:trHeight w:val="705" w:hRule="atLeast"/>
        </w:trPr>
        <w:tc>
          <w:tcPr>
            <w:tcW w:w="364" w:type="pct"/>
            <w:vMerge w:val="restart"/>
            <w:tcBorders>
              <w:top w:val="nil"/>
              <w:left w:val="single" w:color="000000" w:sz="8" w:space="0"/>
              <w:bottom w:val="nil"/>
              <w:right w:val="single" w:color="000000" w:sz="4" w:space="0"/>
            </w:tcBorders>
            <w:noWrap w:val="0"/>
            <w:textDirection w:val="tbRlV"/>
            <w:vAlign w:val="center"/>
          </w:tcPr>
          <w:p w14:paraId="0B3FEFB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安全施工管理</w:t>
            </w:r>
          </w:p>
        </w:tc>
        <w:tc>
          <w:tcPr>
            <w:tcW w:w="2179" w:type="pct"/>
            <w:tcBorders>
              <w:top w:val="nil"/>
              <w:left w:val="nil"/>
              <w:bottom w:val="single" w:color="000000" w:sz="4" w:space="0"/>
              <w:right w:val="single" w:color="000000" w:sz="4" w:space="0"/>
            </w:tcBorders>
            <w:noWrap w:val="0"/>
            <w:vAlign w:val="center"/>
          </w:tcPr>
          <w:p w14:paraId="37F8BC0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遵守国家有关安全生产的法律法规，认真执行工程承包合同中的有关安全要求</w:t>
            </w:r>
          </w:p>
        </w:tc>
        <w:tc>
          <w:tcPr>
            <w:tcW w:w="601" w:type="pct"/>
            <w:tcBorders>
              <w:top w:val="nil"/>
              <w:left w:val="nil"/>
              <w:bottom w:val="single" w:color="000000" w:sz="4" w:space="0"/>
              <w:right w:val="single" w:color="000000" w:sz="4" w:space="0"/>
            </w:tcBorders>
            <w:noWrap w:val="0"/>
            <w:vAlign w:val="center"/>
          </w:tcPr>
          <w:p w14:paraId="4D90979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13" w:type="pct"/>
            <w:tcBorders>
              <w:top w:val="nil"/>
              <w:left w:val="nil"/>
              <w:bottom w:val="single" w:color="000000" w:sz="4" w:space="0"/>
              <w:right w:val="single" w:color="000000" w:sz="4" w:space="0"/>
            </w:tcBorders>
            <w:noWrap w:val="0"/>
            <w:vAlign w:val="center"/>
          </w:tcPr>
          <w:p w14:paraId="050E608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41" w:type="pct"/>
            <w:tcBorders>
              <w:top w:val="nil"/>
              <w:left w:val="nil"/>
              <w:bottom w:val="single" w:color="000000" w:sz="4" w:space="0"/>
              <w:right w:val="single" w:color="000000" w:sz="4" w:space="0"/>
            </w:tcBorders>
            <w:noWrap w:val="0"/>
            <w:vAlign w:val="center"/>
          </w:tcPr>
          <w:p w14:paraId="191A820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565E345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A840303">
        <w:tblPrEx>
          <w:tblCellMar>
            <w:top w:w="0" w:type="dxa"/>
            <w:left w:w="108" w:type="dxa"/>
            <w:bottom w:w="0" w:type="dxa"/>
            <w:right w:w="108" w:type="dxa"/>
          </w:tblCellMar>
        </w:tblPrEx>
        <w:trPr>
          <w:cantSplit/>
          <w:trHeight w:val="1470" w:hRule="atLeast"/>
        </w:trPr>
        <w:tc>
          <w:tcPr>
            <w:tcW w:w="364" w:type="pct"/>
            <w:vMerge w:val="continue"/>
            <w:tcBorders>
              <w:top w:val="nil"/>
              <w:left w:val="single" w:color="000000" w:sz="8" w:space="0"/>
              <w:bottom w:val="nil"/>
              <w:right w:val="single" w:color="000000" w:sz="4" w:space="0"/>
            </w:tcBorders>
            <w:noWrap w:val="0"/>
            <w:vAlign w:val="center"/>
          </w:tcPr>
          <w:p w14:paraId="420C87F4">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2D55F22B">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坚持</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安全第一</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预防为主，综合治理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的原则</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加强安全生产宣传教育和培训，增强施工人员安全生产意识，建立健全各项安全生产的管理机构和安全生产管理制度</w:t>
            </w:r>
          </w:p>
        </w:tc>
        <w:tc>
          <w:tcPr>
            <w:tcW w:w="601" w:type="pct"/>
            <w:tcBorders>
              <w:top w:val="nil"/>
              <w:left w:val="nil"/>
              <w:bottom w:val="single" w:color="000000" w:sz="4" w:space="0"/>
              <w:right w:val="single" w:color="000000" w:sz="4" w:space="0"/>
            </w:tcBorders>
            <w:noWrap w:val="0"/>
            <w:vAlign w:val="center"/>
          </w:tcPr>
          <w:p w14:paraId="38E9B0D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13" w:type="pct"/>
            <w:tcBorders>
              <w:top w:val="nil"/>
              <w:left w:val="nil"/>
              <w:bottom w:val="single" w:color="000000" w:sz="4" w:space="0"/>
              <w:right w:val="single" w:color="000000" w:sz="4" w:space="0"/>
            </w:tcBorders>
            <w:noWrap w:val="0"/>
            <w:vAlign w:val="center"/>
          </w:tcPr>
          <w:p w14:paraId="27CBA5B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未做到一项扣1分</w:t>
            </w:r>
          </w:p>
        </w:tc>
        <w:tc>
          <w:tcPr>
            <w:tcW w:w="641" w:type="pct"/>
            <w:tcBorders>
              <w:top w:val="nil"/>
              <w:left w:val="nil"/>
              <w:bottom w:val="single" w:color="000000" w:sz="4" w:space="0"/>
              <w:right w:val="single" w:color="000000" w:sz="4" w:space="0"/>
            </w:tcBorders>
            <w:noWrap w:val="0"/>
            <w:vAlign w:val="center"/>
          </w:tcPr>
          <w:p w14:paraId="0978543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0C65964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99C5BF1">
        <w:tblPrEx>
          <w:tblCellMar>
            <w:top w:w="0" w:type="dxa"/>
            <w:left w:w="108" w:type="dxa"/>
            <w:bottom w:w="0" w:type="dxa"/>
            <w:right w:w="108" w:type="dxa"/>
          </w:tblCellMar>
        </w:tblPrEx>
        <w:trPr>
          <w:cantSplit/>
          <w:trHeight w:val="1110" w:hRule="atLeast"/>
        </w:trPr>
        <w:tc>
          <w:tcPr>
            <w:tcW w:w="364" w:type="pct"/>
            <w:vMerge w:val="continue"/>
            <w:tcBorders>
              <w:top w:val="nil"/>
              <w:left w:val="single" w:color="000000" w:sz="8" w:space="0"/>
              <w:bottom w:val="nil"/>
              <w:right w:val="single" w:color="000000" w:sz="4" w:space="0"/>
            </w:tcBorders>
            <w:noWrap w:val="0"/>
            <w:vAlign w:val="center"/>
          </w:tcPr>
          <w:p w14:paraId="6FD42C28">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3507FB9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施工现场需配备专职或兼职安全检查人员</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有组织开展安全生产活动，做到施工与安全工作同时计划</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布置</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检查</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总结</w:t>
            </w:r>
          </w:p>
        </w:tc>
        <w:tc>
          <w:tcPr>
            <w:tcW w:w="601" w:type="pct"/>
            <w:tcBorders>
              <w:top w:val="nil"/>
              <w:left w:val="nil"/>
              <w:bottom w:val="single" w:color="000000" w:sz="4" w:space="0"/>
              <w:right w:val="single" w:color="000000" w:sz="4" w:space="0"/>
            </w:tcBorders>
            <w:noWrap w:val="0"/>
            <w:vAlign w:val="center"/>
          </w:tcPr>
          <w:p w14:paraId="0D24F3F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13" w:type="pct"/>
            <w:tcBorders>
              <w:top w:val="nil"/>
              <w:left w:val="nil"/>
              <w:bottom w:val="single" w:color="000000" w:sz="4" w:space="0"/>
              <w:right w:val="single" w:color="000000" w:sz="4" w:space="0"/>
            </w:tcBorders>
            <w:noWrap w:val="0"/>
            <w:vAlign w:val="center"/>
          </w:tcPr>
          <w:p w14:paraId="0930E94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未做到一次扣1分</w:t>
            </w:r>
          </w:p>
        </w:tc>
        <w:tc>
          <w:tcPr>
            <w:tcW w:w="641" w:type="pct"/>
            <w:tcBorders>
              <w:top w:val="nil"/>
              <w:left w:val="nil"/>
              <w:bottom w:val="single" w:color="000000" w:sz="4" w:space="0"/>
              <w:right w:val="single" w:color="000000" w:sz="4" w:space="0"/>
            </w:tcBorders>
            <w:noWrap w:val="0"/>
            <w:vAlign w:val="center"/>
          </w:tcPr>
          <w:p w14:paraId="3AA0AEF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1307471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645FD8A9">
        <w:tblPrEx>
          <w:tblCellMar>
            <w:top w:w="0" w:type="dxa"/>
            <w:left w:w="108" w:type="dxa"/>
            <w:bottom w:w="0" w:type="dxa"/>
            <w:right w:w="108" w:type="dxa"/>
          </w:tblCellMar>
        </w:tblPrEx>
        <w:trPr>
          <w:cantSplit/>
          <w:trHeight w:val="1095" w:hRule="atLeast"/>
        </w:trPr>
        <w:tc>
          <w:tcPr>
            <w:tcW w:w="364" w:type="pct"/>
            <w:vMerge w:val="continue"/>
            <w:tcBorders>
              <w:top w:val="nil"/>
              <w:left w:val="single" w:color="000000" w:sz="8" w:space="0"/>
              <w:bottom w:val="nil"/>
              <w:right w:val="single" w:color="000000" w:sz="4" w:space="0"/>
            </w:tcBorders>
            <w:noWrap w:val="0"/>
            <w:vAlign w:val="center"/>
          </w:tcPr>
          <w:p w14:paraId="5559068D">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0B0CB0E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对于易燃易爆的材料除应专门妥善保管之外</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还应配备足够的消防设施</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且施工人员应熟悉消防设备的性能和使用方法</w:t>
            </w:r>
          </w:p>
        </w:tc>
        <w:tc>
          <w:tcPr>
            <w:tcW w:w="601" w:type="pct"/>
            <w:tcBorders>
              <w:top w:val="nil"/>
              <w:left w:val="nil"/>
              <w:bottom w:val="single" w:color="000000" w:sz="4" w:space="0"/>
              <w:right w:val="single" w:color="000000" w:sz="4" w:space="0"/>
            </w:tcBorders>
            <w:noWrap w:val="0"/>
            <w:vAlign w:val="center"/>
          </w:tcPr>
          <w:p w14:paraId="514387FB">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13" w:type="pct"/>
            <w:tcBorders>
              <w:top w:val="nil"/>
              <w:left w:val="nil"/>
              <w:bottom w:val="single" w:color="000000" w:sz="4" w:space="0"/>
              <w:right w:val="single" w:color="000000" w:sz="4" w:space="0"/>
            </w:tcBorders>
            <w:noWrap w:val="0"/>
            <w:vAlign w:val="center"/>
          </w:tcPr>
          <w:p w14:paraId="0BE2264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未做到一项扣2分</w:t>
            </w:r>
          </w:p>
        </w:tc>
        <w:tc>
          <w:tcPr>
            <w:tcW w:w="641" w:type="pct"/>
            <w:tcBorders>
              <w:top w:val="nil"/>
              <w:left w:val="nil"/>
              <w:bottom w:val="single" w:color="000000" w:sz="4" w:space="0"/>
              <w:right w:val="single" w:color="000000" w:sz="4" w:space="0"/>
            </w:tcBorders>
            <w:noWrap w:val="0"/>
            <w:vAlign w:val="center"/>
          </w:tcPr>
          <w:p w14:paraId="20C4518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567C580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78E2720">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nil"/>
              <w:right w:val="single" w:color="000000" w:sz="4" w:space="0"/>
            </w:tcBorders>
            <w:noWrap w:val="0"/>
            <w:vAlign w:val="center"/>
          </w:tcPr>
          <w:p w14:paraId="51888354">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0DE8CF9A">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特种作业必须持证上岗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且须按规定穿戴防护用品</w:t>
            </w:r>
          </w:p>
        </w:tc>
        <w:tc>
          <w:tcPr>
            <w:tcW w:w="601" w:type="pct"/>
            <w:tcBorders>
              <w:top w:val="nil"/>
              <w:left w:val="nil"/>
              <w:bottom w:val="single" w:color="000000" w:sz="4" w:space="0"/>
              <w:right w:val="single" w:color="000000" w:sz="4" w:space="0"/>
            </w:tcBorders>
            <w:noWrap w:val="0"/>
            <w:vAlign w:val="center"/>
          </w:tcPr>
          <w:p w14:paraId="313764C8">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13" w:type="pct"/>
            <w:tcBorders>
              <w:top w:val="nil"/>
              <w:left w:val="nil"/>
              <w:bottom w:val="single" w:color="000000" w:sz="4" w:space="0"/>
              <w:right w:val="single" w:color="000000" w:sz="4" w:space="0"/>
            </w:tcBorders>
            <w:noWrap w:val="0"/>
            <w:vAlign w:val="center"/>
          </w:tcPr>
          <w:p w14:paraId="0803F426">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未做到一次扣5分</w:t>
            </w:r>
          </w:p>
        </w:tc>
        <w:tc>
          <w:tcPr>
            <w:tcW w:w="641" w:type="pct"/>
            <w:tcBorders>
              <w:top w:val="nil"/>
              <w:left w:val="nil"/>
              <w:bottom w:val="single" w:color="000000" w:sz="4" w:space="0"/>
              <w:right w:val="single" w:color="000000" w:sz="4" w:space="0"/>
            </w:tcBorders>
            <w:noWrap w:val="0"/>
            <w:vAlign w:val="center"/>
          </w:tcPr>
          <w:p w14:paraId="0FFDDB0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7F65820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1A6D13B">
        <w:tblPrEx>
          <w:tblCellMar>
            <w:top w:w="0" w:type="dxa"/>
            <w:left w:w="108" w:type="dxa"/>
            <w:bottom w:w="0" w:type="dxa"/>
            <w:right w:w="108" w:type="dxa"/>
          </w:tblCellMar>
        </w:tblPrEx>
        <w:trPr>
          <w:cantSplit/>
          <w:trHeight w:val="600" w:hRule="atLeast"/>
        </w:trPr>
        <w:tc>
          <w:tcPr>
            <w:tcW w:w="364" w:type="pct"/>
            <w:vMerge w:val="continue"/>
            <w:tcBorders>
              <w:top w:val="nil"/>
              <w:left w:val="single" w:color="000000" w:sz="8" w:space="0"/>
              <w:bottom w:val="nil"/>
              <w:right w:val="single" w:color="000000" w:sz="4" w:space="0"/>
            </w:tcBorders>
            <w:noWrap w:val="0"/>
            <w:vAlign w:val="center"/>
          </w:tcPr>
          <w:p w14:paraId="39AA01BC">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538BABD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所有施工机具设备和高空作业的设备均应定期检查</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保证其处于完好状态</w:t>
            </w:r>
          </w:p>
        </w:tc>
        <w:tc>
          <w:tcPr>
            <w:tcW w:w="601" w:type="pct"/>
            <w:tcBorders>
              <w:top w:val="nil"/>
              <w:left w:val="nil"/>
              <w:bottom w:val="single" w:color="000000" w:sz="4" w:space="0"/>
              <w:right w:val="single" w:color="000000" w:sz="4" w:space="0"/>
            </w:tcBorders>
            <w:noWrap w:val="0"/>
            <w:vAlign w:val="center"/>
          </w:tcPr>
          <w:p w14:paraId="53B6B9F4">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13" w:type="pct"/>
            <w:tcBorders>
              <w:top w:val="nil"/>
              <w:left w:val="nil"/>
              <w:bottom w:val="single" w:color="000000" w:sz="4" w:space="0"/>
              <w:right w:val="single" w:color="000000" w:sz="4" w:space="0"/>
            </w:tcBorders>
            <w:noWrap w:val="0"/>
            <w:vAlign w:val="center"/>
          </w:tcPr>
          <w:p w14:paraId="7397381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未做到一次扣5分</w:t>
            </w:r>
          </w:p>
        </w:tc>
        <w:tc>
          <w:tcPr>
            <w:tcW w:w="641" w:type="pct"/>
            <w:tcBorders>
              <w:top w:val="nil"/>
              <w:left w:val="nil"/>
              <w:bottom w:val="single" w:color="000000" w:sz="4" w:space="0"/>
              <w:right w:val="single" w:color="000000" w:sz="4" w:space="0"/>
            </w:tcBorders>
            <w:noWrap w:val="0"/>
            <w:vAlign w:val="center"/>
          </w:tcPr>
          <w:p w14:paraId="6A1B95A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1575170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0FD7D5E7">
        <w:tblPrEx>
          <w:tblCellMar>
            <w:top w:w="0" w:type="dxa"/>
            <w:left w:w="108" w:type="dxa"/>
            <w:bottom w:w="0" w:type="dxa"/>
            <w:right w:w="108" w:type="dxa"/>
          </w:tblCellMar>
        </w:tblPrEx>
        <w:trPr>
          <w:cantSplit/>
          <w:trHeight w:val="2713" w:hRule="atLeast"/>
        </w:trPr>
        <w:tc>
          <w:tcPr>
            <w:tcW w:w="364" w:type="pct"/>
            <w:vMerge w:val="continue"/>
            <w:tcBorders>
              <w:top w:val="nil"/>
              <w:left w:val="single" w:color="000000" w:sz="8" w:space="0"/>
              <w:bottom w:val="nil"/>
              <w:right w:val="single" w:color="000000" w:sz="4" w:space="0"/>
            </w:tcBorders>
            <w:noWrap w:val="0"/>
            <w:vAlign w:val="center"/>
          </w:tcPr>
          <w:p w14:paraId="0C419BCA">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0059A2D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施工现场动用明火，必须向院方提出申请并办理相关手续，经确认后方可在指定地点操作，并配备灭火设备</w:t>
            </w:r>
          </w:p>
        </w:tc>
        <w:tc>
          <w:tcPr>
            <w:tcW w:w="601" w:type="pct"/>
            <w:tcBorders>
              <w:top w:val="nil"/>
              <w:left w:val="nil"/>
              <w:bottom w:val="single" w:color="000000" w:sz="4" w:space="0"/>
              <w:right w:val="single" w:color="000000" w:sz="4" w:space="0"/>
            </w:tcBorders>
            <w:noWrap w:val="0"/>
            <w:vAlign w:val="center"/>
          </w:tcPr>
          <w:p w14:paraId="12587123">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13" w:type="pct"/>
            <w:tcBorders>
              <w:top w:val="nil"/>
              <w:left w:val="nil"/>
              <w:bottom w:val="single" w:color="000000" w:sz="4" w:space="0"/>
              <w:right w:val="single" w:color="000000" w:sz="4" w:space="0"/>
            </w:tcBorders>
            <w:noWrap w:val="0"/>
            <w:vAlign w:val="center"/>
          </w:tcPr>
          <w:p w14:paraId="00FC1F7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未办理手续扣10分，办理手续但未配备灭火器扣5分</w:t>
            </w:r>
          </w:p>
        </w:tc>
        <w:tc>
          <w:tcPr>
            <w:tcW w:w="641" w:type="pct"/>
            <w:tcBorders>
              <w:top w:val="nil"/>
              <w:left w:val="nil"/>
              <w:bottom w:val="single" w:color="000000" w:sz="4" w:space="0"/>
              <w:right w:val="single" w:color="000000" w:sz="4" w:space="0"/>
            </w:tcBorders>
            <w:noWrap w:val="0"/>
            <w:vAlign w:val="center"/>
          </w:tcPr>
          <w:p w14:paraId="7BB6B7A4">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2A105E5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F5DD882">
        <w:tblPrEx>
          <w:tblCellMar>
            <w:top w:w="0" w:type="dxa"/>
            <w:left w:w="108" w:type="dxa"/>
            <w:bottom w:w="0" w:type="dxa"/>
            <w:right w:w="108" w:type="dxa"/>
          </w:tblCellMar>
        </w:tblPrEx>
        <w:trPr>
          <w:cantSplit/>
          <w:trHeight w:val="1050" w:hRule="atLeast"/>
        </w:trPr>
        <w:tc>
          <w:tcPr>
            <w:tcW w:w="364" w:type="pct"/>
            <w:vMerge w:val="continue"/>
            <w:tcBorders>
              <w:top w:val="nil"/>
              <w:left w:val="single" w:color="000000" w:sz="8" w:space="0"/>
              <w:bottom w:val="nil"/>
              <w:right w:val="single" w:color="000000" w:sz="4" w:space="0"/>
            </w:tcBorders>
            <w:noWrap w:val="0"/>
            <w:vAlign w:val="center"/>
          </w:tcPr>
          <w:p w14:paraId="7DF171DB">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488EAC11">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施工中涉及消防设施关、停、改动的，必须事先向院方提出申请，办理相关手续，经确认后方可施工</w:t>
            </w:r>
          </w:p>
        </w:tc>
        <w:tc>
          <w:tcPr>
            <w:tcW w:w="601" w:type="pct"/>
            <w:tcBorders>
              <w:top w:val="nil"/>
              <w:left w:val="nil"/>
              <w:bottom w:val="single" w:color="000000" w:sz="4" w:space="0"/>
              <w:right w:val="single" w:color="000000" w:sz="4" w:space="0"/>
            </w:tcBorders>
            <w:noWrap w:val="0"/>
            <w:vAlign w:val="center"/>
          </w:tcPr>
          <w:p w14:paraId="11479D5A">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13" w:type="pct"/>
            <w:tcBorders>
              <w:top w:val="nil"/>
              <w:left w:val="nil"/>
              <w:bottom w:val="single" w:color="000000" w:sz="4" w:space="0"/>
              <w:right w:val="single" w:color="000000" w:sz="4" w:space="0"/>
            </w:tcBorders>
            <w:noWrap w:val="0"/>
            <w:vAlign w:val="center"/>
          </w:tcPr>
          <w:p w14:paraId="393035B8">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未办理手续一次扣10分</w:t>
            </w:r>
          </w:p>
        </w:tc>
        <w:tc>
          <w:tcPr>
            <w:tcW w:w="641" w:type="pct"/>
            <w:tcBorders>
              <w:top w:val="nil"/>
              <w:left w:val="nil"/>
              <w:bottom w:val="single" w:color="000000" w:sz="4" w:space="0"/>
              <w:right w:val="single" w:color="000000" w:sz="4" w:space="0"/>
            </w:tcBorders>
            <w:noWrap w:val="0"/>
            <w:vAlign w:val="center"/>
          </w:tcPr>
          <w:p w14:paraId="556681A9">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7B19C2C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78F2FE64">
        <w:tblPrEx>
          <w:tblCellMar>
            <w:top w:w="0" w:type="dxa"/>
            <w:left w:w="108" w:type="dxa"/>
            <w:bottom w:w="0" w:type="dxa"/>
            <w:right w:w="108" w:type="dxa"/>
          </w:tblCellMar>
        </w:tblPrEx>
        <w:trPr>
          <w:cantSplit/>
          <w:trHeight w:val="660" w:hRule="atLeast"/>
        </w:trPr>
        <w:tc>
          <w:tcPr>
            <w:tcW w:w="364" w:type="pct"/>
            <w:vMerge w:val="continue"/>
            <w:tcBorders>
              <w:top w:val="nil"/>
              <w:left w:val="single" w:color="000000" w:sz="8" w:space="0"/>
              <w:bottom w:val="nil"/>
              <w:right w:val="single" w:color="000000" w:sz="4" w:space="0"/>
            </w:tcBorders>
            <w:noWrap w:val="0"/>
            <w:vAlign w:val="center"/>
          </w:tcPr>
          <w:p w14:paraId="7874DEDE">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top"/>
          </w:tcPr>
          <w:p w14:paraId="438B168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施工用电必须严格执行《施工现场临时用电安全技术规范》，禁止乱拉乱接</w:t>
            </w:r>
          </w:p>
        </w:tc>
        <w:tc>
          <w:tcPr>
            <w:tcW w:w="601" w:type="pct"/>
            <w:tcBorders>
              <w:top w:val="nil"/>
              <w:left w:val="nil"/>
              <w:bottom w:val="single" w:color="000000" w:sz="4" w:space="0"/>
              <w:right w:val="single" w:color="000000" w:sz="4" w:space="0"/>
            </w:tcBorders>
            <w:noWrap w:val="0"/>
            <w:vAlign w:val="center"/>
          </w:tcPr>
          <w:p w14:paraId="36FBF6EE">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w:t>
            </w:r>
          </w:p>
        </w:tc>
        <w:tc>
          <w:tcPr>
            <w:tcW w:w="713" w:type="pct"/>
            <w:tcBorders>
              <w:top w:val="nil"/>
              <w:left w:val="nil"/>
              <w:bottom w:val="single" w:color="000000" w:sz="4" w:space="0"/>
              <w:right w:val="single" w:color="000000" w:sz="4" w:space="0"/>
            </w:tcBorders>
            <w:noWrap w:val="0"/>
            <w:vAlign w:val="center"/>
          </w:tcPr>
          <w:p w14:paraId="1CEF2A2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发现一次扣2分</w:t>
            </w:r>
          </w:p>
        </w:tc>
        <w:tc>
          <w:tcPr>
            <w:tcW w:w="641" w:type="pct"/>
            <w:tcBorders>
              <w:top w:val="nil"/>
              <w:left w:val="nil"/>
              <w:bottom w:val="single" w:color="000000" w:sz="4" w:space="0"/>
              <w:right w:val="single" w:color="000000" w:sz="4" w:space="0"/>
            </w:tcBorders>
            <w:noWrap w:val="0"/>
            <w:vAlign w:val="center"/>
          </w:tcPr>
          <w:p w14:paraId="147D6FB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3D2BFB0D">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3E45FB89">
        <w:tblPrEx>
          <w:tblCellMar>
            <w:top w:w="0" w:type="dxa"/>
            <w:left w:w="108" w:type="dxa"/>
            <w:bottom w:w="0" w:type="dxa"/>
            <w:right w:w="108" w:type="dxa"/>
          </w:tblCellMar>
        </w:tblPrEx>
        <w:trPr>
          <w:cantSplit/>
          <w:trHeight w:val="675" w:hRule="atLeast"/>
        </w:trPr>
        <w:tc>
          <w:tcPr>
            <w:tcW w:w="364" w:type="pct"/>
            <w:vMerge w:val="continue"/>
            <w:tcBorders>
              <w:top w:val="nil"/>
              <w:left w:val="single" w:color="000000" w:sz="8" w:space="0"/>
              <w:bottom w:val="nil"/>
              <w:right w:val="single" w:color="000000" w:sz="4" w:space="0"/>
            </w:tcBorders>
            <w:noWrap w:val="0"/>
            <w:vAlign w:val="center"/>
          </w:tcPr>
          <w:p w14:paraId="75433191">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7997CB9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施工中采用新技术</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新工艺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新设备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新材料时</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必须制定相应的安全技术措施</w:t>
            </w:r>
          </w:p>
        </w:tc>
        <w:tc>
          <w:tcPr>
            <w:tcW w:w="601" w:type="pct"/>
            <w:tcBorders>
              <w:top w:val="nil"/>
              <w:left w:val="nil"/>
              <w:bottom w:val="single" w:color="000000" w:sz="4" w:space="0"/>
              <w:right w:val="single" w:color="000000" w:sz="4" w:space="0"/>
            </w:tcBorders>
            <w:noWrap w:val="0"/>
            <w:vAlign w:val="center"/>
          </w:tcPr>
          <w:p w14:paraId="387A0776">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13" w:type="pct"/>
            <w:tcBorders>
              <w:top w:val="nil"/>
              <w:left w:val="nil"/>
              <w:bottom w:val="single" w:color="000000" w:sz="4" w:space="0"/>
              <w:right w:val="single" w:color="000000" w:sz="4" w:space="0"/>
            </w:tcBorders>
            <w:noWrap w:val="0"/>
            <w:vAlign w:val="center"/>
          </w:tcPr>
          <w:p w14:paraId="4B3D16F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未做到一次扣2分，二次扣5分</w:t>
            </w:r>
          </w:p>
        </w:tc>
        <w:tc>
          <w:tcPr>
            <w:tcW w:w="641" w:type="pct"/>
            <w:tcBorders>
              <w:top w:val="nil"/>
              <w:left w:val="nil"/>
              <w:bottom w:val="single" w:color="000000" w:sz="4" w:space="0"/>
              <w:right w:val="single" w:color="000000" w:sz="4" w:space="0"/>
            </w:tcBorders>
            <w:noWrap w:val="0"/>
            <w:vAlign w:val="center"/>
          </w:tcPr>
          <w:p w14:paraId="31FBA2B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26AD5073">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20FB6E26">
        <w:tblPrEx>
          <w:tblCellMar>
            <w:top w:w="0" w:type="dxa"/>
            <w:left w:w="108" w:type="dxa"/>
            <w:bottom w:w="0" w:type="dxa"/>
            <w:right w:w="108" w:type="dxa"/>
          </w:tblCellMar>
        </w:tblPrEx>
        <w:trPr>
          <w:cantSplit/>
          <w:trHeight w:val="1560" w:hRule="atLeast"/>
        </w:trPr>
        <w:tc>
          <w:tcPr>
            <w:tcW w:w="364" w:type="pct"/>
            <w:vMerge w:val="continue"/>
            <w:tcBorders>
              <w:top w:val="nil"/>
              <w:left w:val="single" w:color="000000" w:sz="8" w:space="0"/>
              <w:bottom w:val="nil"/>
              <w:right w:val="single" w:color="000000" w:sz="4" w:space="0"/>
            </w:tcBorders>
            <w:noWrap w:val="0"/>
            <w:vAlign w:val="center"/>
          </w:tcPr>
          <w:p w14:paraId="308133EB">
            <w:pPr>
              <w:widowControl/>
              <w:spacing w:line="360" w:lineRule="auto"/>
              <w:rPr>
                <w:rFonts w:ascii="宋体" w:hAnsi="宋体" w:cs="宋体"/>
                <w:color w:val="000000" w:themeColor="text1"/>
                <w:sz w:val="24"/>
                <w:highlight w:val="none"/>
                <w14:textFill>
                  <w14:solidFill>
                    <w14:schemeClr w14:val="tx1"/>
                  </w14:solidFill>
                </w14:textFill>
              </w:rPr>
            </w:pPr>
          </w:p>
        </w:tc>
        <w:tc>
          <w:tcPr>
            <w:tcW w:w="2179" w:type="pct"/>
            <w:tcBorders>
              <w:top w:val="nil"/>
              <w:left w:val="nil"/>
              <w:bottom w:val="single" w:color="000000" w:sz="4" w:space="0"/>
              <w:right w:val="single" w:color="000000" w:sz="4" w:space="0"/>
            </w:tcBorders>
            <w:noWrap w:val="0"/>
            <w:vAlign w:val="center"/>
          </w:tcPr>
          <w:p w14:paraId="2F78003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必须按照工程项目特点</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组织制定本工程实施中的生产安全事故应急救援预案；一旦发生安全事故</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应按照相关规定</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及时上报有关部门</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并坚持</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三不放过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的原则</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严肃处理相关责任人</w:t>
            </w:r>
          </w:p>
        </w:tc>
        <w:tc>
          <w:tcPr>
            <w:tcW w:w="601" w:type="pct"/>
            <w:tcBorders>
              <w:top w:val="nil"/>
              <w:left w:val="nil"/>
              <w:bottom w:val="single" w:color="000000" w:sz="4" w:space="0"/>
              <w:right w:val="single" w:color="000000" w:sz="4" w:space="0"/>
            </w:tcBorders>
            <w:noWrap w:val="0"/>
            <w:vAlign w:val="center"/>
          </w:tcPr>
          <w:p w14:paraId="3117D50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w:t>
            </w:r>
          </w:p>
        </w:tc>
        <w:tc>
          <w:tcPr>
            <w:tcW w:w="713" w:type="pct"/>
            <w:tcBorders>
              <w:top w:val="nil"/>
              <w:left w:val="nil"/>
              <w:bottom w:val="single" w:color="000000" w:sz="4" w:space="0"/>
              <w:right w:val="single" w:color="000000" w:sz="4" w:space="0"/>
            </w:tcBorders>
            <w:noWrap w:val="0"/>
            <w:vAlign w:val="center"/>
          </w:tcPr>
          <w:p w14:paraId="14A7C56F">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未制定应急预案扣5分，发生安全事故扣20分</w:t>
            </w:r>
          </w:p>
        </w:tc>
        <w:tc>
          <w:tcPr>
            <w:tcW w:w="641" w:type="pct"/>
            <w:tcBorders>
              <w:top w:val="nil"/>
              <w:left w:val="nil"/>
              <w:bottom w:val="single" w:color="000000" w:sz="4" w:space="0"/>
              <w:right w:val="single" w:color="000000" w:sz="4" w:space="0"/>
            </w:tcBorders>
            <w:noWrap w:val="0"/>
            <w:vAlign w:val="center"/>
          </w:tcPr>
          <w:p w14:paraId="402B3DFE">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499" w:type="pct"/>
            <w:tcBorders>
              <w:top w:val="nil"/>
              <w:left w:val="nil"/>
              <w:bottom w:val="single" w:color="000000" w:sz="4" w:space="0"/>
              <w:right w:val="single" w:color="000000" w:sz="8" w:space="0"/>
            </w:tcBorders>
            <w:noWrap w:val="0"/>
            <w:vAlign w:val="center"/>
          </w:tcPr>
          <w:p w14:paraId="0B234762">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519ED99E">
        <w:tblPrEx>
          <w:tblCellMar>
            <w:top w:w="0" w:type="dxa"/>
            <w:left w:w="108" w:type="dxa"/>
            <w:bottom w:w="0" w:type="dxa"/>
            <w:right w:w="108" w:type="dxa"/>
          </w:tblCellMar>
        </w:tblPrEx>
        <w:trPr>
          <w:trHeight w:val="465" w:hRule="atLeast"/>
        </w:trPr>
        <w:tc>
          <w:tcPr>
            <w:tcW w:w="364" w:type="pct"/>
            <w:tcBorders>
              <w:top w:val="single" w:color="000000" w:sz="4" w:space="0"/>
              <w:left w:val="single" w:color="000000" w:sz="8" w:space="0"/>
              <w:bottom w:val="single" w:color="000000" w:sz="4" w:space="0"/>
              <w:right w:val="single" w:color="000000" w:sz="4" w:space="0"/>
            </w:tcBorders>
            <w:noWrap w:val="0"/>
            <w:vAlign w:val="center"/>
          </w:tcPr>
          <w:p w14:paraId="28E913AF">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合计</w:t>
            </w:r>
          </w:p>
        </w:tc>
        <w:tc>
          <w:tcPr>
            <w:tcW w:w="2179" w:type="pct"/>
            <w:tcBorders>
              <w:top w:val="nil"/>
              <w:left w:val="nil"/>
              <w:bottom w:val="single" w:color="000000" w:sz="4" w:space="0"/>
              <w:right w:val="single" w:color="000000" w:sz="4" w:space="0"/>
            </w:tcBorders>
            <w:noWrap w:val="0"/>
            <w:vAlign w:val="center"/>
          </w:tcPr>
          <w:p w14:paraId="0D6C66A5">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601" w:type="pct"/>
            <w:tcBorders>
              <w:top w:val="nil"/>
              <w:left w:val="nil"/>
              <w:bottom w:val="single" w:color="000000" w:sz="4" w:space="0"/>
              <w:right w:val="single" w:color="000000" w:sz="4" w:space="0"/>
            </w:tcBorders>
            <w:noWrap w:val="0"/>
            <w:vAlign w:val="center"/>
          </w:tcPr>
          <w:p w14:paraId="26A18937">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100</w:t>
            </w:r>
          </w:p>
        </w:tc>
        <w:tc>
          <w:tcPr>
            <w:tcW w:w="713" w:type="pct"/>
            <w:tcBorders>
              <w:top w:val="nil"/>
              <w:left w:val="nil"/>
              <w:bottom w:val="single" w:color="000000" w:sz="4" w:space="0"/>
              <w:right w:val="single" w:color="000000" w:sz="4" w:space="0"/>
            </w:tcBorders>
            <w:noWrap w:val="0"/>
            <w:vAlign w:val="center"/>
          </w:tcPr>
          <w:p w14:paraId="01834730">
            <w:pPr>
              <w:widowControl/>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141" w:type="pct"/>
            <w:gridSpan w:val="2"/>
            <w:tcBorders>
              <w:top w:val="single" w:color="000000" w:sz="4" w:space="0"/>
              <w:left w:val="nil"/>
              <w:bottom w:val="single" w:color="000000" w:sz="4" w:space="0"/>
              <w:right w:val="single" w:color="000000" w:sz="8" w:space="0"/>
            </w:tcBorders>
            <w:noWrap w:val="0"/>
            <w:vAlign w:val="center"/>
          </w:tcPr>
          <w:p w14:paraId="0DF93FA0">
            <w:pPr>
              <w:widowControl/>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38FB7FD1">
        <w:tblPrEx>
          <w:tblCellMar>
            <w:top w:w="0" w:type="dxa"/>
            <w:left w:w="108" w:type="dxa"/>
            <w:bottom w:w="0" w:type="dxa"/>
            <w:right w:w="108" w:type="dxa"/>
          </w:tblCellMar>
        </w:tblPrEx>
        <w:trPr>
          <w:trHeight w:val="900" w:hRule="atLeast"/>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22DA4261">
            <w:pPr>
              <w:widowControl/>
              <w:spacing w:line="360" w:lineRule="auto"/>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c>
          <w:tcPr>
            <w:tcW w:w="4635" w:type="pct"/>
            <w:gridSpan w:val="5"/>
            <w:tcBorders>
              <w:top w:val="single" w:color="000000" w:sz="4" w:space="0"/>
              <w:left w:val="single" w:color="000000" w:sz="4" w:space="0"/>
              <w:bottom w:val="single" w:color="000000" w:sz="4" w:space="0"/>
              <w:right w:val="single" w:color="000000" w:sz="4" w:space="0"/>
            </w:tcBorders>
            <w:noWrap w:val="0"/>
            <w:vAlign w:val="center"/>
          </w:tcPr>
          <w:p w14:paraId="7EA5F8BE">
            <w:pPr>
              <w:widowControl/>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项目</w:t>
            </w:r>
            <w:r>
              <w:rPr>
                <w:color w:val="000000" w:themeColor="text1"/>
                <w:sz w:val="24"/>
                <w:highlight w:val="none"/>
                <w14:textFill>
                  <w14:solidFill>
                    <w14:schemeClr w14:val="tx1"/>
                  </w14:solidFill>
                </w14:textFill>
              </w:rPr>
              <w:t>结算时</w:t>
            </w:r>
            <w:r>
              <w:rPr>
                <w:rFonts w:hint="eastAsia"/>
                <w:color w:val="000000" w:themeColor="text1"/>
                <w:sz w:val="24"/>
                <w:highlight w:val="none"/>
                <w14:textFill>
                  <w14:solidFill>
                    <w14:schemeClr w14:val="tx1"/>
                  </w14:solidFill>
                </w14:textFill>
              </w:rPr>
              <w:t>费用与考评得分挂钩，高于95分不扣工程费用；扣满5分后，每扣一分，扣款200元；扣满10分后，每扣一分，扣款500元</w:t>
            </w:r>
            <w:r>
              <w:rPr>
                <w:color w:val="000000" w:themeColor="text1"/>
                <w:sz w:val="24"/>
                <w:highlight w:val="none"/>
                <w14:textFill>
                  <w14:solidFill>
                    <w14:schemeClr w14:val="tx1"/>
                  </w14:solidFill>
                </w14:textFill>
              </w:rPr>
              <w:t>。在安全生产检查中，所施工项目每被上级部门通报一次，扣款3000元。</w:t>
            </w:r>
          </w:p>
        </w:tc>
      </w:tr>
    </w:tbl>
    <w:p w14:paraId="49CC7D36">
      <w:pPr>
        <w:rPr>
          <w:rFonts w:hint="eastAsia"/>
          <w:color w:val="000000" w:themeColor="text1"/>
          <w:highlight w:val="none"/>
          <w:lang w:val="en-US" w:eastAsia="zh-CN"/>
          <w14:textFill>
            <w14:solidFill>
              <w14:schemeClr w14:val="tx1"/>
            </w14:solidFill>
          </w14:textFill>
        </w:rPr>
      </w:pPr>
    </w:p>
    <w:p w14:paraId="29E6285F">
      <w:pPr>
        <w:spacing w:line="360" w:lineRule="auto"/>
        <w:ind w:firstLine="480"/>
        <w:rPr>
          <w:rFonts w:ascii="宋体" w:hAnsi="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br w:type="page"/>
      </w:r>
      <w:r>
        <w:rPr>
          <w:rFonts w:hint="eastAsia" w:ascii="宋体" w:hAnsi="宋体"/>
          <w:b/>
          <w:color w:val="000000" w:themeColor="text1"/>
          <w:sz w:val="30"/>
          <w:szCs w:val="30"/>
          <w:highlight w:val="none"/>
          <w14:textFill>
            <w14:solidFill>
              <w14:schemeClr w14:val="tx1"/>
            </w14:solidFill>
          </w14:textFill>
        </w:rPr>
        <w:t>第三部分  政府采购政策（包括但不限于下列具体政策要求）</w:t>
      </w:r>
    </w:p>
    <w:p w14:paraId="292698E2">
      <w:pPr>
        <w:spacing w:line="360" w:lineRule="auto"/>
        <w:ind w:firstLine="480" w:firstLineChars="20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政府采购信用担保</w:t>
      </w:r>
    </w:p>
    <w:p w14:paraId="2250E074">
      <w:pPr>
        <w:tabs>
          <w:tab w:val="left" w:pos="846"/>
          <w:tab w:val="left" w:pos="1050"/>
        </w:tabs>
        <w:adjustRightInd w:val="0"/>
        <w:snapToGrid w:val="0"/>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bookmarkStart w:id="165" w:name="三．项目技术配置和有关说明"/>
      <w:bookmarkEnd w:id="165"/>
      <w:bookmarkStart w:id="166" w:name="四．合同书"/>
      <w:bookmarkEnd w:id="166"/>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履约担保</w:t>
      </w:r>
    </w:p>
    <w:p w14:paraId="78ACC972">
      <w:pPr>
        <w:tabs>
          <w:tab w:val="left" w:pos="846"/>
          <w:tab w:val="left" w:pos="1050"/>
        </w:tabs>
        <w:adjustRightInd w:val="0"/>
        <w:snapToGrid w:val="0"/>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履约担保，是指由专业担保机构为成交供应商支付履约保证金的义务向采购人提供的保函担保。专业担保机构根据成交供应商的中标通知书为凭据，进行资信审查后出具保函，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A6C3DBE">
      <w:pPr>
        <w:tabs>
          <w:tab w:val="left" w:pos="846"/>
          <w:tab w:val="left" w:pos="1050"/>
        </w:tabs>
        <w:adjustRightInd w:val="0"/>
        <w:snapToGrid w:val="0"/>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p>
    <w:p w14:paraId="40CCE4E7">
      <w:pPr>
        <w:tabs>
          <w:tab w:val="left" w:pos="846"/>
          <w:tab w:val="left" w:pos="1050"/>
        </w:tabs>
        <w:adjustRightInd w:val="0"/>
        <w:snapToGrid w:val="0"/>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2.融资担保。</w:t>
      </w:r>
    </w:p>
    <w:p w14:paraId="09A7217D">
      <w:pPr>
        <w:tabs>
          <w:tab w:val="left" w:pos="846"/>
          <w:tab w:val="left" w:pos="1050"/>
        </w:tabs>
        <w:adjustRightInd w:val="0"/>
        <w:snapToGrid w:val="0"/>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00A97B2">
      <w:pPr>
        <w:tabs>
          <w:tab w:val="left" w:pos="846"/>
          <w:tab w:val="left" w:pos="1050"/>
        </w:tabs>
        <w:adjustRightInd w:val="0"/>
        <w:snapToGrid w:val="0"/>
        <w:spacing w:line="360" w:lineRule="auto"/>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中标、成交供应商可根据自身情况，自行决定是否选择采用合同融资形式，在无锡政府采购网——政采贷专栏提供的银行名录内自主选择合作银行。</w:t>
      </w:r>
    </w:p>
    <w:p w14:paraId="28C8458C">
      <w:pPr>
        <w:tabs>
          <w:tab w:val="left" w:pos="525"/>
          <w:tab w:val="left" w:pos="630"/>
          <w:tab w:val="left" w:pos="735"/>
          <w:tab w:val="left" w:pos="945"/>
          <w:tab w:val="left" w:pos="1080"/>
        </w:tabs>
        <w:spacing w:line="360" w:lineRule="auto"/>
        <w:ind w:firstLine="480"/>
        <w:rPr>
          <w:rFonts w:ascii="宋体"/>
          <w:bCs/>
          <w:color w:val="000000" w:themeColor="text1"/>
          <w:sz w:val="24"/>
          <w:szCs w:val="24"/>
          <w:highlight w:val="none"/>
          <w:lang w:val="e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5D6DC0B3">
      <w:pPr>
        <w:tabs>
          <w:tab w:val="left" w:pos="525"/>
          <w:tab w:val="left" w:pos="630"/>
          <w:tab w:val="left" w:pos="735"/>
          <w:tab w:val="left" w:pos="945"/>
          <w:tab w:val="left" w:pos="1080"/>
        </w:tabs>
        <w:spacing w:line="360" w:lineRule="auto"/>
        <w:ind w:firstLine="480"/>
        <w:jc w:val="center"/>
        <w:rPr>
          <w:rFonts w:ascii="黑体" w:hAnsi="黑体" w:eastAsia="黑体"/>
          <w:bCs/>
          <w:color w:val="000000" w:themeColor="text1"/>
          <w:sz w:val="36"/>
          <w:szCs w:val="36"/>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评标方法与评标标准</w:t>
      </w:r>
    </w:p>
    <w:p w14:paraId="08B52E54">
      <w:pPr>
        <w:pStyle w:val="344"/>
        <w:spacing w:before="0" w:after="0" w:line="500" w:lineRule="exact"/>
        <w:ind w:firstLine="602"/>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  评标方法</w:t>
      </w:r>
    </w:p>
    <w:p w14:paraId="74C07ABC">
      <w:pPr>
        <w:pStyle w:val="344"/>
        <w:spacing w:before="0" w:after="0" w:line="500" w:lineRule="exact"/>
        <w:rPr>
          <w:rFonts w:cs="Arial"/>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w:t>
      </w:r>
      <w:r>
        <w:rPr>
          <w:rFonts w:hint="eastAsia" w:cs="Arial"/>
          <w:color w:val="000000" w:themeColor="text1"/>
          <w:highlight w:val="none"/>
          <w14:textFill>
            <w14:solidFill>
              <w14:schemeClr w14:val="tx1"/>
            </w14:solidFill>
          </w14:textFill>
        </w:rPr>
        <w:t>通过初审的，方可进入比较与评价程序。</w:t>
      </w:r>
    </w:p>
    <w:p w14:paraId="3B265258">
      <w:pPr>
        <w:pStyle w:val="34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比较与评价采用综合评分法。</w:t>
      </w:r>
    </w:p>
    <w:p w14:paraId="1BF1F1FB">
      <w:pPr>
        <w:pStyle w:val="344"/>
        <w:spacing w:before="0" w:after="0" w:line="50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的分值；各</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的评审后得分为各评委所评定分值的平均值，并按高低顺序排列。得分相同的，按投标报价由低到高顺序排列，得分相同且投标报价相同的并列。</w:t>
      </w:r>
      <w:r>
        <w:rPr>
          <w:rFonts w:hint="eastAsia" w:ascii="宋体" w:hAnsi="宋体" w:cs="宋体"/>
          <w:color w:val="000000" w:themeColor="text1"/>
          <w:highlight w:val="none"/>
          <w14:textFill>
            <w14:solidFill>
              <w14:schemeClr w14:val="tx1"/>
            </w14:solidFill>
          </w14:textFill>
        </w:rPr>
        <w:t>投标</w:t>
      </w:r>
      <w:r>
        <w:rPr>
          <w:rFonts w:hint="eastAsia" w:ascii="宋体" w:hAnsi="宋体"/>
          <w:bCs/>
          <w:color w:val="000000" w:themeColor="text1"/>
          <w:highlight w:val="none"/>
          <w14:textFill>
            <w14:solidFill>
              <w14:schemeClr w14:val="tx1"/>
            </w14:solidFill>
          </w14:textFill>
        </w:rPr>
        <w:t>文件满足招标文件全部实质性要求，且按照评审因素的量化指标评审得分最高的</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排名第一，以此类推，按排名先后顺序选取3名中标候选人。</w:t>
      </w:r>
    </w:p>
    <w:p w14:paraId="0AFD9B26">
      <w:pPr>
        <w:pStyle w:val="344"/>
        <w:spacing w:before="0" w:after="0" w:line="50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参加同一合同项下投标的，按一家</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计算，评审后得分最高的同品牌</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获得评审排名资格；评审得分相同的，由采购人确定其中一个</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获得评审排名资格，其他同品牌</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无评审排名资格。非单一产品采购项目，多家</w:t>
      </w:r>
      <w:r>
        <w:rPr>
          <w:rFonts w:hint="eastAsia" w:ascii="宋体" w:hAnsi="宋体" w:cs="宋体"/>
          <w:color w:val="000000" w:themeColor="text1"/>
          <w:highlight w:val="none"/>
          <w14:textFill>
            <w14:solidFill>
              <w14:schemeClr w14:val="tx1"/>
            </w14:solidFill>
          </w14:textFill>
        </w:rPr>
        <w:t>投标人</w:t>
      </w:r>
      <w:r>
        <w:rPr>
          <w:rFonts w:hint="eastAsia" w:ascii="宋体" w:hAnsi="宋体"/>
          <w:bCs/>
          <w:color w:val="000000" w:themeColor="text1"/>
          <w:highlight w:val="none"/>
          <w14:textFill>
            <w14:solidFill>
              <w14:schemeClr w14:val="tx1"/>
            </w14:solidFill>
          </w14:textFill>
        </w:rPr>
        <w:t>提供的核心产品品牌相同的，同上处理。</w:t>
      </w:r>
    </w:p>
    <w:p w14:paraId="73FBD167">
      <w:pPr>
        <w:pStyle w:val="344"/>
        <w:spacing w:before="0" w:after="0" w:line="500" w:lineRule="exact"/>
        <w:rPr>
          <w:rFonts w:ascii="宋体" w:hAnsi="宋体"/>
          <w:bCs/>
          <w:color w:val="000000" w:themeColor="text1"/>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  评标标准</w:t>
      </w:r>
    </w:p>
    <w:p w14:paraId="1A950F5D">
      <w:pPr>
        <w:pStyle w:val="344"/>
        <w:spacing w:before="0" w:after="0" w:line="500" w:lineRule="exact"/>
        <w:ind w:firstLine="56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一、落实政府采购政策的价格调整</w:t>
      </w:r>
    </w:p>
    <w:p w14:paraId="6E1B2AB0">
      <w:pPr>
        <w:spacing w:line="500" w:lineRule="exact"/>
        <w:ind w:firstLine="482"/>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小微型企业价格扣除：专门面向中小/小微企业的项目不做价格扣除。</w:t>
      </w:r>
    </w:p>
    <w:p w14:paraId="287476B5">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7CFEDA7C">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753FA3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2EB2173">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4.残疾人福利单位、监狱企业属于小型、微型企业的，不重复享受政策。</w:t>
      </w:r>
    </w:p>
    <w:p w14:paraId="79CFFED2">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用扣除后的价格参与评审。供应商须在《联合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56E8FCB9">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322F9893">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。供应商</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044292E0">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r>
    </w:p>
    <w:p w14:paraId="43B54A99">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b/>
          <w:bCs/>
          <w:color w:val="000000" w:themeColor="text1"/>
          <w:sz w:val="24"/>
          <w:szCs w:val="24"/>
          <w:highlight w:val="none"/>
          <w14:textFill>
            <w14:solidFill>
              <w14:schemeClr w14:val="tx1"/>
            </w14:solidFill>
          </w14:textFill>
        </w:rPr>
        <w:t>投标报价（</w:t>
      </w:r>
      <w:r>
        <w:rPr>
          <w:rFonts w:hint="eastAsia" w:ascii="宋体" w:hAnsi="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b/>
          <w:bCs/>
          <w:color w:val="000000" w:themeColor="text1"/>
          <w:sz w:val="24"/>
          <w:szCs w:val="24"/>
          <w:highlight w:val="none"/>
          <w:lang w:val="en-US" w:eastAsia="zh-CN"/>
          <w14:textFill>
            <w14:solidFill>
              <w14:schemeClr w14:val="tx1"/>
            </w14:solidFill>
          </w14:textFill>
        </w:rPr>
        <w:t>0</w:t>
      </w:r>
      <w:r>
        <w:rPr>
          <w:rFonts w:hint="eastAsia" w:ascii="宋体" w:hAnsi="宋体" w:eastAsia="宋体"/>
          <w:b/>
          <w:bCs/>
          <w:color w:val="000000" w:themeColor="text1"/>
          <w:sz w:val="24"/>
          <w:szCs w:val="24"/>
          <w:highlight w:val="none"/>
          <w14:textFill>
            <w14:solidFill>
              <w14:schemeClr w14:val="tx1"/>
            </w14:solidFill>
          </w14:textFill>
        </w:rPr>
        <w:t>分）</w:t>
      </w:r>
    </w:p>
    <w:p w14:paraId="37BAE093">
      <w:pPr>
        <w:shd w:val="clear" w:color="auto" w:fill="auto"/>
        <w:spacing w:line="460" w:lineRule="exact"/>
        <w:ind w:firstLine="480"/>
        <w:outlineLvl w:val="9"/>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14:textFill>
            <w14:solidFill>
              <w14:schemeClr w14:val="tx1"/>
            </w14:solidFill>
          </w14:textFill>
        </w:rPr>
        <w:t>本项目采用低价优先法（以最高优惠率对应的实际最低价为准）进行评审，投标人需自行合理平衡各分项单价，优惠率取值范围限定为5%≤优惠率≤100%；满足采购文件要求且最高的优惠率对应的投标报价作为评审基准价，评审基准价=该标段最高限价×（1-最高优惠率），其价格分为满分30分；其他投标人的价格分按统一公式计算：投标报价=该标段最高限价×（1-投标人所报优惠率），再根据此报价与评标基准价的对比结果计算具体得分。本项目投标报价总分30分。</w:t>
      </w:r>
    </w:p>
    <w:p w14:paraId="1F3E5B80">
      <w:pPr>
        <w:shd w:val="clear" w:color="auto" w:fill="auto"/>
        <w:spacing w:line="460" w:lineRule="exact"/>
        <w:ind w:firstLine="480"/>
        <w:outlineLvl w:val="9"/>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14:textFill>
            <w14:solidFill>
              <w14:schemeClr w14:val="tx1"/>
            </w14:solidFill>
          </w14:textFill>
        </w:rPr>
        <w:t>投标报价得分=（评标基准价／投标报价）×价格权值×100。</w:t>
      </w:r>
    </w:p>
    <w:p w14:paraId="298A4160">
      <w:pPr>
        <w:shd w:val="clear" w:color="auto" w:fill="auto"/>
        <w:spacing w:line="460" w:lineRule="exact"/>
        <w:ind w:firstLine="480"/>
        <w:outlineLvl w:val="9"/>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14:textFill>
            <w14:solidFill>
              <w14:schemeClr w14:val="tx1"/>
            </w14:solidFill>
          </w14:textFill>
        </w:rPr>
        <w:t>例：某商品原价100元，A公司优惠率30%（即报价70元），B公司优惠率20%（即报价80元）。基准价为70元，B公司得分=(70/80)×30 = 26.25分。</w:t>
      </w:r>
    </w:p>
    <w:p w14:paraId="1DDEC372">
      <w:pPr>
        <w:shd w:val="clear" w:color="auto" w:fill="auto"/>
        <w:spacing w:line="460" w:lineRule="exact"/>
        <w:ind w:firstLine="480"/>
        <w:outlineLvl w:val="9"/>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14:textFill>
            <w14:solidFill>
              <w14:schemeClr w14:val="tx1"/>
            </w14:solidFill>
          </w14:textFill>
        </w:rPr>
        <w:t>注</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Times New Roman"/>
          <w:b w:val="0"/>
          <w:bCs w:val="0"/>
          <w:color w:val="000000" w:themeColor="text1"/>
          <w:sz w:val="24"/>
          <w:szCs w:val="24"/>
          <w:highlight w:val="none"/>
          <w14:textFill>
            <w14:solidFill>
              <w14:schemeClr w14:val="tx1"/>
            </w14:solidFill>
          </w14:textFill>
        </w:rPr>
        <w:t>：关于价格扣除详见本章第二部分“一、落实政府采购政策的价格调整”。</w:t>
      </w:r>
    </w:p>
    <w:p w14:paraId="07E24C7E">
      <w:pPr>
        <w:shd w:val="clear" w:color="auto" w:fill="auto"/>
        <w:spacing w:line="460" w:lineRule="exact"/>
        <w:ind w:firstLine="480"/>
        <w:outlineLvl w:val="9"/>
        <w:rPr>
          <w:rFonts w:hint="eastAsia"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注2：</w:t>
      </w:r>
      <w:r>
        <w:rPr>
          <w:rFonts w:hint="eastAsia" w:ascii="宋体" w:hAnsi="宋体" w:eastAsia="宋体" w:cs="Times New Roman"/>
          <w:b w:val="0"/>
          <w:bCs w:val="0"/>
          <w:color w:val="000000" w:themeColor="text1"/>
          <w:sz w:val="24"/>
          <w:szCs w:val="24"/>
          <w:highlight w:val="none"/>
          <w14:textFill>
            <w14:solidFill>
              <w14:schemeClr w14:val="tx1"/>
            </w14:solidFill>
          </w14:textFill>
        </w:rPr>
        <w:t>评审过程中出现下列情形之一的，评审委员会应当启动异常低价投标（响应）审查程序：</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14:textFill>
            <w14:solidFill>
              <w14:schemeClr w14:val="tx1"/>
            </w14:solidFill>
          </w14:textFill>
        </w:rPr>
        <w:t>投标（响应）报价低于采购项目预算50%的，即投标（响应）报价&lt;采购项目预算×50%；</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14:textFill>
            <w14:solidFill>
              <w14:schemeClr w14:val="tx1"/>
            </w14:solidFill>
          </w14:textFill>
        </w:rPr>
        <w:t>投标（响应）报价低于采购项目最高限价45%的，即投标（响应）报价&lt;采购项目最高限价×45%；</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14:textFill>
            <w14:solidFill>
              <w14:schemeClr w14:val="tx1"/>
            </w14:solidFill>
          </w14:textFill>
        </w:rPr>
        <w:t>评审委员会认定的供应商报价过低、有可能影响产品质量或者不能诚信履约的其他情形。</w:t>
      </w:r>
    </w:p>
    <w:p w14:paraId="6895B960">
      <w:pPr>
        <w:autoSpaceDE/>
        <w:autoSpaceDN/>
        <w:adjustRightInd/>
        <w:spacing w:line="460" w:lineRule="exact"/>
        <w:ind w:firstLine="480"/>
        <w:outlineLvl w:val="9"/>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注3：</w:t>
      </w:r>
      <w:r>
        <w:rPr>
          <w:rFonts w:hint="eastAsia" w:ascii="宋体" w:hAnsi="宋体" w:eastAsia="宋体" w:cs="Times New Roman"/>
          <w:b w:val="0"/>
          <w:bCs w:val="0"/>
          <w:color w:val="000000" w:themeColor="text1"/>
          <w:sz w:val="24"/>
          <w:szCs w:val="24"/>
          <w:highlight w:val="none"/>
          <w14:textFill>
            <w14:solidFill>
              <w14:schemeClr w14:val="tx1"/>
            </w14:solidFill>
          </w14:textFill>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91B7572">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hint="default"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lang w:eastAsia="zh-CN"/>
          <w14:textFill>
            <w14:solidFill>
              <w14:schemeClr w14:val="tx1"/>
            </w14:solidFill>
          </w14:textFill>
        </w:rPr>
        <w:t>2.</w:t>
      </w:r>
      <w:r>
        <w:rPr>
          <w:rFonts w:hint="default" w:ascii="宋体" w:hAnsi="宋体" w:eastAsia="宋体"/>
          <w:b/>
          <w:bCs/>
          <w:color w:val="000000" w:themeColor="text1"/>
          <w:sz w:val="24"/>
          <w:szCs w:val="24"/>
          <w:highlight w:val="none"/>
          <w14:textFill>
            <w14:solidFill>
              <w14:schemeClr w14:val="tx1"/>
            </w14:solidFill>
          </w14:textFill>
        </w:rPr>
        <w:t>企业综合实力（21分）</w:t>
      </w:r>
    </w:p>
    <w:p w14:paraId="5479966D">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（1）业绩（6分）</w:t>
      </w:r>
    </w:p>
    <w:p w14:paraId="08F114F6">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投标</w:t>
      </w:r>
      <w:r>
        <w:rPr>
          <w:rFonts w:hint="default" w:ascii="宋体" w:hAnsi="宋体" w:eastAsia="宋体" w:cs="Times New Roman"/>
          <w:b w:val="0"/>
          <w:bCs w:val="0"/>
          <w:color w:val="000000" w:themeColor="text1"/>
          <w:sz w:val="24"/>
          <w:szCs w:val="24"/>
          <w:highlight w:val="none"/>
          <w14:textFill>
            <w14:solidFill>
              <w14:schemeClr w14:val="tx1"/>
            </w14:solidFill>
          </w14:textFill>
        </w:rPr>
        <w:t>供应商202</w:t>
      </w:r>
      <w:r>
        <w:rPr>
          <w:rFonts w:hint="default" w:ascii="宋体" w:hAnsi="宋体" w:eastAsia="宋体" w:cs="Times New Roman"/>
          <w:b w:val="0"/>
          <w:bCs w:val="0"/>
          <w:color w:val="000000" w:themeColor="text1"/>
          <w:sz w:val="24"/>
          <w:szCs w:val="24"/>
          <w:highlight w:val="none"/>
          <w:lang w:val="en-US" w:eastAsia="zh-CN"/>
          <w14:textFill>
            <w14:solidFill>
              <w14:schemeClr w14:val="tx1"/>
            </w14:solidFill>
          </w14:textFill>
        </w:rPr>
        <w:t>2</w:t>
      </w:r>
      <w:r>
        <w:rPr>
          <w:rFonts w:hint="default" w:ascii="宋体" w:hAnsi="宋体" w:eastAsia="宋体" w:cs="Times New Roman"/>
          <w:b w:val="0"/>
          <w:bCs w:val="0"/>
          <w:color w:val="000000" w:themeColor="text1"/>
          <w:sz w:val="24"/>
          <w:szCs w:val="24"/>
          <w:highlight w:val="none"/>
          <w14:textFill>
            <w14:solidFill>
              <w14:schemeClr w14:val="tx1"/>
            </w14:solidFill>
          </w14:textFill>
        </w:rPr>
        <w:t>年</w:t>
      </w: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12</w:t>
      </w:r>
      <w:r>
        <w:rPr>
          <w:rFonts w:hint="default" w:ascii="宋体" w:hAnsi="宋体" w:eastAsia="宋体" w:cs="Times New Roman"/>
          <w:b w:val="0"/>
          <w:bCs w:val="0"/>
          <w:color w:val="000000" w:themeColor="text1"/>
          <w:sz w:val="24"/>
          <w:szCs w:val="24"/>
          <w:highlight w:val="none"/>
          <w14:textFill>
            <w14:solidFill>
              <w14:schemeClr w14:val="tx1"/>
            </w14:solidFill>
          </w14:textFill>
        </w:rPr>
        <w:t>月1日至开标截止日期前有类似项目业绩的，每个得3分，最多可得6分。（</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响应</w:t>
      </w:r>
      <w:r>
        <w:rPr>
          <w:rFonts w:hint="default" w:ascii="宋体" w:hAnsi="宋体" w:eastAsia="宋体" w:cs="Times New Roman"/>
          <w:b w:val="0"/>
          <w:bCs w:val="0"/>
          <w:color w:val="000000" w:themeColor="text1"/>
          <w:sz w:val="24"/>
          <w:szCs w:val="24"/>
          <w:highlight w:val="none"/>
          <w14:textFill>
            <w14:solidFill>
              <w14:schemeClr w14:val="tx1"/>
            </w14:solidFill>
          </w14:textFill>
        </w:rPr>
        <w:t>文件中提供合同扫描件并加盖公章</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14:textFill>
            <w14:solidFill>
              <w14:schemeClr w14:val="tx1"/>
            </w14:solidFill>
          </w14:textFill>
        </w:rPr>
        <w:t>时间以合同落款时间为准）。</w:t>
      </w:r>
    </w:p>
    <w:p w14:paraId="7256CCC3">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（2）奖项（3分）</w:t>
      </w:r>
    </w:p>
    <w:p w14:paraId="2FBD5A1B">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投标</w:t>
      </w:r>
      <w:r>
        <w:rPr>
          <w:rFonts w:hint="default" w:ascii="宋体" w:hAnsi="宋体" w:eastAsia="宋体" w:cs="Times New Roman"/>
          <w:b w:val="0"/>
          <w:bCs w:val="0"/>
          <w:color w:val="000000" w:themeColor="text1"/>
          <w:sz w:val="24"/>
          <w:szCs w:val="24"/>
          <w:highlight w:val="none"/>
          <w14:textFill>
            <w14:solidFill>
              <w14:schemeClr w14:val="tx1"/>
            </w14:solidFill>
          </w14:textFill>
        </w:rPr>
        <w:t>供应商承担过202</w:t>
      </w:r>
      <w:r>
        <w:rPr>
          <w:rFonts w:hint="default" w:ascii="宋体" w:hAnsi="宋体" w:eastAsia="宋体" w:cs="Times New Roman"/>
          <w:b w:val="0"/>
          <w:bCs w:val="0"/>
          <w:color w:val="000000" w:themeColor="text1"/>
          <w:sz w:val="24"/>
          <w:szCs w:val="24"/>
          <w:highlight w:val="none"/>
          <w:lang w:val="en-US" w:eastAsia="zh-CN"/>
          <w14:textFill>
            <w14:solidFill>
              <w14:schemeClr w14:val="tx1"/>
            </w14:solidFill>
          </w14:textFill>
        </w:rPr>
        <w:t>2</w:t>
      </w:r>
      <w:r>
        <w:rPr>
          <w:rFonts w:hint="default" w:ascii="宋体" w:hAnsi="宋体" w:eastAsia="宋体" w:cs="Times New Roman"/>
          <w:b w:val="0"/>
          <w:bCs w:val="0"/>
          <w:color w:val="000000" w:themeColor="text1"/>
          <w:sz w:val="24"/>
          <w:szCs w:val="24"/>
          <w:highlight w:val="none"/>
          <w14:textFill>
            <w14:solidFill>
              <w14:schemeClr w14:val="tx1"/>
            </w14:solidFill>
          </w14:textFill>
        </w:rPr>
        <w:t>年</w:t>
      </w: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12</w:t>
      </w:r>
      <w:r>
        <w:rPr>
          <w:rFonts w:hint="default" w:ascii="宋体" w:hAnsi="宋体" w:eastAsia="宋体" w:cs="Times New Roman"/>
          <w:b w:val="0"/>
          <w:bCs w:val="0"/>
          <w:color w:val="000000" w:themeColor="text1"/>
          <w:sz w:val="24"/>
          <w:szCs w:val="24"/>
          <w:highlight w:val="none"/>
          <w14:textFill>
            <w14:solidFill>
              <w14:schemeClr w14:val="tx1"/>
            </w14:solidFill>
          </w14:textFill>
        </w:rPr>
        <w:t>月1日至开标截止日期前（以获奖证书或获奖文件的落款日期至本工程开标截止日期计算）的建筑及装饰工程业绩，奖项由行政主管部门颁发的，有一个获得市优工程得1分，有一个获得省优工程得2分，有一个获得国优工程得3分，最高得3分；     </w:t>
      </w:r>
    </w:p>
    <w:p w14:paraId="6602BCAC">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【获奖证明需提供施工合同</w:t>
      </w:r>
      <w:r>
        <w:rPr>
          <w:rFonts w:hint="eastAsia" w:ascii="宋体" w:hAnsi="宋体" w:cs="Times New Roman"/>
          <w:b w:val="0"/>
          <w:bCs w:val="0"/>
          <w:color w:val="000000" w:themeColor="text1"/>
          <w:sz w:val="24"/>
          <w:szCs w:val="24"/>
          <w:highlight w:val="none"/>
          <w:lang w:eastAsia="zh-CN"/>
          <w14:textFill>
            <w14:solidFill>
              <w14:schemeClr w14:val="tx1"/>
            </w14:solidFill>
          </w14:textFill>
        </w:rPr>
        <w:t>扫描件</w:t>
      </w:r>
      <w:r>
        <w:rPr>
          <w:rFonts w:hint="default" w:ascii="宋体" w:hAnsi="宋体" w:eastAsia="宋体" w:cs="Times New Roman"/>
          <w:b w:val="0"/>
          <w:bCs w:val="0"/>
          <w:color w:val="000000" w:themeColor="text1"/>
          <w:sz w:val="24"/>
          <w:szCs w:val="24"/>
          <w:highlight w:val="none"/>
          <w14:textFill>
            <w14:solidFill>
              <w14:schemeClr w14:val="tx1"/>
            </w14:solidFill>
          </w14:textFill>
        </w:rPr>
        <w:t>、获奖证书或颁奖部门颁发的获奖文件</w:t>
      </w:r>
      <w:r>
        <w:rPr>
          <w:rFonts w:hint="eastAsia" w:ascii="宋体" w:hAnsi="宋体" w:cs="Times New Roman"/>
          <w:b w:val="0"/>
          <w:bCs w:val="0"/>
          <w:color w:val="000000" w:themeColor="text1"/>
          <w:sz w:val="24"/>
          <w:szCs w:val="24"/>
          <w:highlight w:val="none"/>
          <w:lang w:eastAsia="zh-CN"/>
          <w14:textFill>
            <w14:solidFill>
              <w14:schemeClr w14:val="tx1"/>
            </w14:solidFill>
          </w14:textFill>
        </w:rPr>
        <w:t>扫描件</w:t>
      </w:r>
      <w:r>
        <w:rPr>
          <w:rFonts w:hint="default" w:ascii="宋体" w:hAnsi="宋体" w:eastAsia="宋体" w:cs="Times New Roman"/>
          <w:b w:val="0"/>
          <w:bCs w:val="0"/>
          <w:color w:val="000000" w:themeColor="text1"/>
          <w:sz w:val="24"/>
          <w:szCs w:val="24"/>
          <w:highlight w:val="none"/>
          <w14:textFill>
            <w14:solidFill>
              <w14:schemeClr w14:val="tx1"/>
            </w14:solidFill>
          </w14:textFill>
        </w:rPr>
        <w:t>，加盖公章放入响应文件内，未提供</w:t>
      </w:r>
      <w:r>
        <w:rPr>
          <w:rFonts w:hint="eastAsia" w:ascii="宋体" w:hAnsi="宋体" w:cs="Times New Roman"/>
          <w:b w:val="0"/>
          <w:bCs w:val="0"/>
          <w:color w:val="000000" w:themeColor="text1"/>
          <w:sz w:val="24"/>
          <w:szCs w:val="24"/>
          <w:highlight w:val="none"/>
          <w:lang w:eastAsia="zh-CN"/>
          <w14:textFill>
            <w14:solidFill>
              <w14:schemeClr w14:val="tx1"/>
            </w14:solidFill>
          </w14:textFill>
        </w:rPr>
        <w:t>扫描件</w:t>
      </w:r>
      <w:r>
        <w:rPr>
          <w:rFonts w:hint="default" w:ascii="宋体" w:hAnsi="宋体" w:eastAsia="宋体" w:cs="Times New Roman"/>
          <w:b w:val="0"/>
          <w:bCs w:val="0"/>
          <w:color w:val="000000" w:themeColor="text1"/>
          <w:sz w:val="24"/>
          <w:szCs w:val="24"/>
          <w:highlight w:val="none"/>
          <w14:textFill>
            <w14:solidFill>
              <w14:schemeClr w14:val="tx1"/>
            </w14:solidFill>
          </w14:textFill>
        </w:rPr>
        <w:t>或提供的资料不全的不得分</w:t>
      </w:r>
      <w:r>
        <w:rPr>
          <w:rFonts w:hint="eastAsia" w:ascii="宋体" w:hAnsi="宋体" w:cs="Times New Roman"/>
          <w:b w:val="0"/>
          <w:bCs w:val="0"/>
          <w:color w:val="000000" w:themeColor="text1"/>
          <w:sz w:val="24"/>
          <w:szCs w:val="24"/>
          <w:highlight w:val="none"/>
          <w:lang w:eastAsia="zh-CN"/>
          <w14:textFill>
            <w14:solidFill>
              <w14:schemeClr w14:val="tx1"/>
            </w14:solidFill>
          </w14:textFill>
        </w:rPr>
        <w:t>】</w:t>
      </w:r>
    </w:p>
    <w:p w14:paraId="421B311B">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（3）人员配备（12分）</w:t>
      </w:r>
    </w:p>
    <w:p w14:paraId="34C1053B">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A</w:t>
      </w:r>
      <w:r>
        <w:rPr>
          <w:rFonts w:hint="eastAsia" w:ascii="宋体" w:hAnsi="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14:textFill>
            <w14:solidFill>
              <w14:schemeClr w14:val="tx1"/>
            </w14:solidFill>
          </w14:textFill>
        </w:rPr>
        <w:t>在符合</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磋商</w:t>
      </w:r>
      <w:r>
        <w:rPr>
          <w:rFonts w:hint="default" w:ascii="宋体" w:hAnsi="宋体" w:eastAsia="宋体" w:cs="Times New Roman"/>
          <w:b w:val="0"/>
          <w:bCs w:val="0"/>
          <w:color w:val="000000" w:themeColor="text1"/>
          <w:sz w:val="24"/>
          <w:szCs w:val="24"/>
          <w:highlight w:val="none"/>
          <w14:textFill>
            <w14:solidFill>
              <w14:schemeClr w14:val="tx1"/>
            </w14:solidFill>
          </w14:textFill>
        </w:rPr>
        <w:t>文件要求的基础上，驻点人员每多1人得3分，最多得6分。</w:t>
      </w:r>
    </w:p>
    <w:p w14:paraId="686C3493">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B</w:t>
      </w:r>
      <w:r>
        <w:rPr>
          <w:rFonts w:hint="eastAsia" w:ascii="宋体" w:hAnsi="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14:textFill>
            <w14:solidFill>
              <w14:schemeClr w14:val="tx1"/>
            </w14:solidFill>
          </w14:textFill>
        </w:rPr>
        <w:t>项目组人员（含项目负责人）具有工程类中级及以上职称的，有一个得2分；项目组人员具有二级及以上</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一级注册</w:t>
      </w:r>
      <w:r>
        <w:rPr>
          <w:rFonts w:hint="default" w:ascii="宋体" w:hAnsi="宋体" w:eastAsia="宋体" w:cs="Times New Roman"/>
          <w:b w:val="0"/>
          <w:bCs w:val="0"/>
          <w:color w:val="000000" w:themeColor="text1"/>
          <w:sz w:val="24"/>
          <w:szCs w:val="24"/>
          <w:highlight w:val="none"/>
          <w14:textFill>
            <w14:solidFill>
              <w14:schemeClr w14:val="tx1"/>
            </w14:solidFill>
          </w14:textFill>
        </w:rPr>
        <w:t>造价师，有一个得2分；同一个人员不得重复得分，本项最高6分。（提供相关证书复印件加盖公章放入响应文件内，提供的资料不全的不得分。）</w:t>
      </w:r>
    </w:p>
    <w:p w14:paraId="65E2C264">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上述两项评分项需提供相关人员与企业签订的劳动合同或由有关部门出具的近三个月（不含投标当月）任意一个月的社保缴费证明（新成立的企业若不满足三个月（不含投标当月），提供成立之后相关人员的相关月份的社保缴费证明，事业单位可提供其他相关证明）社保缴费证明，复印件加盖公章放入响应文件内）提供不符合要求均不得分。</w:t>
      </w:r>
    </w:p>
    <w:p w14:paraId="350BA680">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hint="default" w:ascii="宋体" w:hAnsi="宋体" w:eastAsia="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3.</w:t>
      </w:r>
      <w:r>
        <w:rPr>
          <w:rFonts w:hint="default" w:ascii="宋体" w:hAnsi="宋体" w:eastAsia="宋体"/>
          <w:b/>
          <w:bCs/>
          <w:color w:val="000000" w:themeColor="text1"/>
          <w:sz w:val="24"/>
          <w:szCs w:val="24"/>
          <w:highlight w:val="none"/>
          <w14:textFill>
            <w14:solidFill>
              <w14:schemeClr w14:val="tx1"/>
            </w14:solidFill>
          </w14:textFill>
        </w:rPr>
        <w:t>技术标部分（</w:t>
      </w:r>
      <w:r>
        <w:rPr>
          <w:rFonts w:hint="eastAsia" w:ascii="宋体" w:hAnsi="宋体" w:eastAsia="宋体"/>
          <w:b/>
          <w:bCs/>
          <w:color w:val="000000" w:themeColor="text1"/>
          <w:sz w:val="24"/>
          <w:szCs w:val="24"/>
          <w:highlight w:val="none"/>
          <w:lang w:val="en-US" w:eastAsia="zh-CN"/>
          <w14:textFill>
            <w14:solidFill>
              <w14:schemeClr w14:val="tx1"/>
            </w14:solidFill>
          </w14:textFill>
        </w:rPr>
        <w:t>49</w:t>
      </w:r>
      <w:r>
        <w:rPr>
          <w:rFonts w:hint="default" w:ascii="宋体" w:hAnsi="宋体" w:eastAsia="宋体"/>
          <w:b/>
          <w:bCs/>
          <w:color w:val="000000" w:themeColor="text1"/>
          <w:sz w:val="24"/>
          <w:szCs w:val="24"/>
          <w:highlight w:val="none"/>
          <w14:textFill>
            <w14:solidFill>
              <w14:schemeClr w14:val="tx1"/>
            </w14:solidFill>
          </w14:textFill>
        </w:rPr>
        <w:t>分）</w:t>
      </w:r>
    </w:p>
    <w:p w14:paraId="0FEE79B9">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（1）总体概述：施工组织总体设想、方案针对性及施工段划分（7分）  </w:t>
      </w:r>
    </w:p>
    <w:p w14:paraId="78EEA0C5">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包括①工程概况（现场踏勘及资料收集）；②施工组织总体设想、总体管理目标。报价人须针对每条内容进行阐述，阐述内容须满足采购需求。</w:t>
      </w:r>
    </w:p>
    <w:p w14:paraId="38C8DAC4">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内容详实、需求贴合度高且条理清晰的该条得7分；内容较详实、需求贴合度较高的该条得5分；内容较为简单、可行、细节待完善的该条得3分；内容粗略、无针对性、基本满足采购需求的该条得1分。本项最高得7分，每缺少一条内容或内容存在不能满足采购需求，或存在逻辑错误、前后矛盾，或存在违反现行相关规范的，该条不得分。</w:t>
      </w:r>
    </w:p>
    <w:p w14:paraId="5D4EDA85">
      <w:pPr>
        <w:autoSpaceDE/>
        <w:autoSpaceDN/>
        <w:adjustRightInd/>
        <w:spacing w:line="460" w:lineRule="exact"/>
        <w:ind w:firstLine="480"/>
        <w:jc w:val="left"/>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（2）施工现场平面布置和临时用地布置</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14:textFill>
            <w14:solidFill>
              <w14:schemeClr w14:val="tx1"/>
            </w14:solidFill>
          </w14:textFill>
        </w:rPr>
        <w:t>  </w:t>
      </w:r>
    </w:p>
    <w:p w14:paraId="20F9712E">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包括①施工现场平面布置；②施工临时用水、用电布置。报价人须针对每条内容进行阐述，阐述内容须满足采购需求。</w:t>
      </w:r>
    </w:p>
    <w:p w14:paraId="68890D77">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内容详实、需求贴合度高且条理清晰的该条得</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6</w:t>
      </w:r>
      <w:r>
        <w:rPr>
          <w:rFonts w:hint="default" w:ascii="宋体" w:hAnsi="宋体" w:eastAsia="宋体" w:cs="Times New Roman"/>
          <w:b w:val="0"/>
          <w:bCs w:val="0"/>
          <w:color w:val="000000" w:themeColor="text1"/>
          <w:sz w:val="24"/>
          <w:szCs w:val="24"/>
          <w:highlight w:val="none"/>
          <w14:textFill>
            <w14:solidFill>
              <w14:schemeClr w14:val="tx1"/>
            </w14:solidFill>
          </w14:textFill>
        </w:rPr>
        <w:t>分；内容较详实、需求贴合度较高的该条得</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4</w:t>
      </w:r>
      <w:r>
        <w:rPr>
          <w:rFonts w:hint="default" w:ascii="宋体" w:hAnsi="宋体" w:eastAsia="宋体" w:cs="Times New Roman"/>
          <w:b w:val="0"/>
          <w:bCs w:val="0"/>
          <w:color w:val="000000" w:themeColor="text1"/>
          <w:sz w:val="24"/>
          <w:szCs w:val="24"/>
          <w:highlight w:val="none"/>
          <w14:textFill>
            <w14:solidFill>
              <w14:schemeClr w14:val="tx1"/>
            </w14:solidFill>
          </w14:textFill>
        </w:rPr>
        <w:t>分；内容较为简单、可行、细节待完善的该条得</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2</w:t>
      </w:r>
      <w:r>
        <w:rPr>
          <w:rFonts w:hint="default" w:ascii="宋体" w:hAnsi="宋体" w:eastAsia="宋体" w:cs="Times New Roman"/>
          <w:b w:val="0"/>
          <w:bCs w:val="0"/>
          <w:color w:val="000000" w:themeColor="text1"/>
          <w:sz w:val="24"/>
          <w:szCs w:val="24"/>
          <w:highlight w:val="none"/>
          <w14:textFill>
            <w14:solidFill>
              <w14:schemeClr w14:val="tx1"/>
            </w14:solidFill>
          </w14:textFill>
        </w:rPr>
        <w:t>分；内容粗略、无针对性、基本满足采购需求的该条得1分。本项最高得</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6</w:t>
      </w:r>
      <w:r>
        <w:rPr>
          <w:rFonts w:hint="default" w:ascii="宋体" w:hAnsi="宋体" w:eastAsia="宋体" w:cs="Times New Roman"/>
          <w:b w:val="0"/>
          <w:bCs w:val="0"/>
          <w:color w:val="000000" w:themeColor="text1"/>
          <w:sz w:val="24"/>
          <w:szCs w:val="24"/>
          <w:highlight w:val="none"/>
          <w14:textFill>
            <w14:solidFill>
              <w14:schemeClr w14:val="tx1"/>
            </w14:solidFill>
          </w14:textFill>
        </w:rPr>
        <w:t>分，每缺少一条内容或内容存在不能满足采购需求，或存在逻辑错误、前后矛盾，或存在违反现行相关规范的，该条不得分。</w:t>
      </w:r>
    </w:p>
    <w:p w14:paraId="0FC461CE">
      <w:pPr>
        <w:autoSpaceDE/>
        <w:autoSpaceDN/>
        <w:adjustRightInd/>
        <w:spacing w:line="460" w:lineRule="exact"/>
        <w:ind w:firstLine="480"/>
        <w:jc w:val="left"/>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（3）施工进度计划和各阶段进度的保证措施</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6分</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14:textFill>
            <w14:solidFill>
              <w14:schemeClr w14:val="tx1"/>
            </w14:solidFill>
          </w14:textFill>
        </w:rPr>
        <w:t>       </w:t>
      </w:r>
    </w:p>
    <w:p w14:paraId="28B5563A">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包括①建立完善的计划保证体系、技术保证措施、管理措施；②施工进度表或施工网络图，水、电供应措施，施工项目资金管理保障措施。报价人须针对每条内容进行阐述，阐述内容须满足采购需求。</w:t>
      </w:r>
    </w:p>
    <w:p w14:paraId="40166E96">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内容详实、需求贴合度高且条理清晰的该条得6分；内容较详实、需求贴合度较高的该条得4分；内容较为简单、可行、细节待完善的该条得2分；内容粗略、无针对性、基本满足采购需求的该条得1分。本项最高得6分，每缺少一条内容或内容存在不能满足采购需求，或存在逻辑错误、前后矛盾，或存在违反现行相关规范的，该条不得分。</w:t>
      </w:r>
    </w:p>
    <w:p w14:paraId="0FC6B4AF">
      <w:pPr>
        <w:autoSpaceDE/>
        <w:autoSpaceDN/>
        <w:adjustRightInd/>
        <w:spacing w:line="460" w:lineRule="exact"/>
        <w:ind w:firstLine="480"/>
        <w:jc w:val="left"/>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（4）各分部分项工程的施工方案及质量保证措施</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8分</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14:textFill>
            <w14:solidFill>
              <w14:schemeClr w14:val="tx1"/>
            </w14:solidFill>
          </w14:textFill>
        </w:rPr>
        <w:t>        </w:t>
      </w:r>
    </w:p>
    <w:p w14:paraId="3A516D08">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施工部署、施工测量、项目部组成；②改造工程各分部分项工程的施工方案及质量保证措施；③重点、难点和关键工程的施工方案。报价人须针对每条内容进行阐述，阐述内容须满足采购需求。内容详实、需求贴合度高且条理清晰的该条得8分；内容较详实、需求贴合度较高的该条得5分；内容较为简单、可行、细节待完善的该条得3分；内容粗略、无针对性、基本满足采购需求的该条得1分。本项最高得8分，每缺少一条内容或内容存在不能满足采购需求，或存在逻辑错误、前后矛盾，或存在违反现行相关规范的，该条不得分。</w:t>
      </w:r>
    </w:p>
    <w:p w14:paraId="2A68E053">
      <w:pPr>
        <w:autoSpaceDE/>
        <w:autoSpaceDN/>
        <w:adjustRightInd/>
        <w:spacing w:line="460" w:lineRule="exact"/>
        <w:ind w:firstLine="480"/>
        <w:jc w:val="left"/>
        <w:outlineLvl w:val="9"/>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（5）安全保障措施</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6分</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p>
    <w:p w14:paraId="3A578FCF">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包括①临时用电、防火、安全防护及施工机械安全管理措施；②突发事件处置、应急预案；报价人须针对每条内容进行阐述，阐述内容须满足采购需求。</w:t>
      </w:r>
    </w:p>
    <w:p w14:paraId="34725A86">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内容详实、需求贴合度高且条理清晰的该条得6分；内容较为简单、可行、细节待完善的该条得3分；内容粗略、无针对性、基本满足采购需求的该条得1分。本项最高得6分，每缺少一条内容或内容存在不能满足采购需求，或存在逻辑错误、前后矛盾，或存在违反现行相关规范的，该条不得分。</w:t>
      </w:r>
    </w:p>
    <w:p w14:paraId="548BA337">
      <w:pPr>
        <w:autoSpaceDE/>
        <w:autoSpaceDN/>
        <w:adjustRightInd/>
        <w:spacing w:line="460" w:lineRule="exact"/>
        <w:ind w:firstLine="480"/>
        <w:jc w:val="left"/>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（6）文明施工及环境保护（降尘降噪）措施</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6分</w:t>
      </w:r>
      <w:r>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t>）</w:t>
      </w:r>
      <w:r>
        <w:rPr>
          <w:rFonts w:hint="default" w:ascii="宋体" w:hAnsi="宋体" w:eastAsia="宋体" w:cs="Times New Roman"/>
          <w:b w:val="0"/>
          <w:bCs w:val="0"/>
          <w:color w:val="000000" w:themeColor="text1"/>
          <w:sz w:val="24"/>
          <w:szCs w:val="24"/>
          <w:highlight w:val="none"/>
          <w14:textFill>
            <w14:solidFill>
              <w14:schemeClr w14:val="tx1"/>
            </w14:solidFill>
          </w14:textFill>
        </w:rPr>
        <w:t>          </w:t>
      </w:r>
    </w:p>
    <w:p w14:paraId="1EA80765">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包括①现场围护、现场管理、人员管理；②噪音、环境保护措施。报价供应商须针对每条内容进行阐述，阐述内容须满足采购需求。</w:t>
      </w:r>
    </w:p>
    <w:p w14:paraId="3FA54483">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内容详实、需求贴合度高且条理清晰的该条得6分；内容较为简单、可行、细节待完善的该条得3分；内容粗略、无针对性、基本满足采购需求的该条得1分。本项最高得6分，每缺少一条内容或内容存在不能满足采购需求，或存在逻辑错误、前后矛盾，或存在违反现行相关规范的，该条不得分。</w:t>
      </w:r>
    </w:p>
    <w:p w14:paraId="3F577CFC">
      <w:pPr>
        <w:autoSpaceDE/>
        <w:autoSpaceDN/>
        <w:adjustRightInd/>
        <w:spacing w:line="460" w:lineRule="exact"/>
        <w:ind w:firstLine="480"/>
        <w:jc w:val="left"/>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（7）劳动力、机械设备和材料投入</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计划（6分）</w:t>
      </w:r>
      <w:r>
        <w:rPr>
          <w:rFonts w:hint="default" w:ascii="宋体" w:hAnsi="宋体" w:eastAsia="宋体" w:cs="Times New Roman"/>
          <w:b w:val="0"/>
          <w:bCs w:val="0"/>
          <w:color w:val="000000" w:themeColor="text1"/>
          <w:sz w:val="24"/>
          <w:szCs w:val="24"/>
          <w:highlight w:val="none"/>
          <w14:textFill>
            <w14:solidFill>
              <w14:schemeClr w14:val="tx1"/>
            </w14:solidFill>
          </w14:textFill>
        </w:rPr>
        <w:t>              </w:t>
      </w:r>
    </w:p>
    <w:p w14:paraId="0546B01B">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劳动力安排计划；②材料投入计划；磋商供应商须针对每条内容进行阐述，阐述内容须满足采购需求。内容详实、需求贴合度高且条理清晰的该条得6分；内容较为简单、可行、细节待完善的该条得3分；内容粗略、无针对性、基本满足采购需求的该条得1分。本项最高得6分，每缺少一条内容或内容存在不能满足采购需求，或存在逻辑错误、前后矛盾，或存在违反现行相关规范的，该条不得分。</w:t>
      </w:r>
    </w:p>
    <w:p w14:paraId="75E05E28">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（8）针对突击性任务、应急抢修、应急响应的应急措施方案（</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4</w:t>
      </w:r>
      <w:r>
        <w:rPr>
          <w:rFonts w:hint="default" w:ascii="宋体" w:hAnsi="宋体" w:eastAsia="宋体" w:cs="Times New Roman"/>
          <w:b w:val="0"/>
          <w:bCs w:val="0"/>
          <w:color w:val="000000" w:themeColor="text1"/>
          <w:sz w:val="24"/>
          <w:szCs w:val="24"/>
          <w:highlight w:val="none"/>
          <w14:textFill>
            <w14:solidFill>
              <w14:schemeClr w14:val="tx1"/>
            </w14:solidFill>
          </w14:textFill>
        </w:rPr>
        <w:t>分）</w:t>
      </w:r>
    </w:p>
    <w:p w14:paraId="22CADCBF">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包括①突击性任务应急措施方案②应急抢修措施方案；报价人须针对每条内容进行阐述，阐述内容须满足采购需求。</w:t>
      </w:r>
    </w:p>
    <w:p w14:paraId="5F41BE4A">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t>内容详实、需求贴合度高且条理清晰的该条得</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4</w:t>
      </w:r>
      <w:r>
        <w:rPr>
          <w:rFonts w:hint="default" w:ascii="宋体" w:hAnsi="宋体" w:eastAsia="宋体" w:cs="Times New Roman"/>
          <w:b w:val="0"/>
          <w:bCs w:val="0"/>
          <w:color w:val="000000" w:themeColor="text1"/>
          <w:sz w:val="24"/>
          <w:szCs w:val="24"/>
          <w:highlight w:val="none"/>
          <w14:textFill>
            <w14:solidFill>
              <w14:schemeClr w14:val="tx1"/>
            </w14:solidFill>
          </w14:textFill>
        </w:rPr>
        <w:t>分；内容较为简单、可行、细节待完善的该条得</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2</w:t>
      </w:r>
      <w:r>
        <w:rPr>
          <w:rFonts w:hint="default" w:ascii="宋体" w:hAnsi="宋体" w:eastAsia="宋体" w:cs="Times New Roman"/>
          <w:b w:val="0"/>
          <w:bCs w:val="0"/>
          <w:color w:val="000000" w:themeColor="text1"/>
          <w:sz w:val="24"/>
          <w:szCs w:val="24"/>
          <w:highlight w:val="none"/>
          <w14:textFill>
            <w14:solidFill>
              <w14:schemeClr w14:val="tx1"/>
            </w14:solidFill>
          </w14:textFill>
        </w:rPr>
        <w:t>分；内容粗略、无针对性、基本满足采购需求的该条得1分。本项最高得</w:t>
      </w:r>
      <w:r>
        <w:rPr>
          <w:rFonts w:hint="default" w:ascii="宋体" w:hAnsi="宋体" w:eastAsia="宋体" w:cs="Times New Roman"/>
          <w:b w:val="0"/>
          <w:bCs w:val="0"/>
          <w:color w:val="000000" w:themeColor="text1"/>
          <w:sz w:val="24"/>
          <w:szCs w:val="24"/>
          <w:highlight w:val="none"/>
          <w:lang w:val="en-US"/>
          <w14:textFill>
            <w14:solidFill>
              <w14:schemeClr w14:val="tx1"/>
            </w14:solidFill>
          </w14:textFill>
        </w:rPr>
        <w:t>4</w:t>
      </w:r>
      <w:r>
        <w:rPr>
          <w:rFonts w:hint="default" w:ascii="宋体" w:hAnsi="宋体" w:eastAsia="宋体" w:cs="Times New Roman"/>
          <w:b w:val="0"/>
          <w:bCs w:val="0"/>
          <w:color w:val="000000" w:themeColor="text1"/>
          <w:sz w:val="24"/>
          <w:szCs w:val="24"/>
          <w:highlight w:val="none"/>
          <w14:textFill>
            <w14:solidFill>
              <w14:schemeClr w14:val="tx1"/>
            </w14:solidFill>
          </w14:textFill>
        </w:rPr>
        <w:t>分，每缺少一条内容或内容存在不能满足采购需求，或存在逻辑错误、前后矛盾，或存在违反现行相关规范的，该条不得分。</w:t>
      </w:r>
    </w:p>
    <w:p w14:paraId="575E2D42">
      <w:pPr>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default" w:ascii="宋体" w:hAnsi="宋体" w:eastAsia="宋体" w:cs="Times New Roman"/>
          <w:b w:val="0"/>
          <w:bCs w:val="0"/>
          <w:color w:val="000000" w:themeColor="text1"/>
          <w:sz w:val="24"/>
          <w:szCs w:val="24"/>
          <w:highlight w:val="none"/>
          <w14:textFill>
            <w14:solidFill>
              <w14:schemeClr w14:val="tx1"/>
            </w14:solidFill>
          </w14:textFill>
        </w:rPr>
        <w:br w:type="page"/>
      </w:r>
    </w:p>
    <w:p w14:paraId="7356F719">
      <w:pPr>
        <w:pStyle w:val="344"/>
        <w:spacing w:before="0" w:after="0" w:line="500" w:lineRule="exact"/>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第六章  响应文件内容与格式</w:t>
      </w:r>
    </w:p>
    <w:p w14:paraId="6A5539C3">
      <w:pPr>
        <w:pStyle w:val="344"/>
        <w:spacing w:before="0" w:after="0" w:line="500" w:lineRule="exact"/>
        <w:ind w:firstLine="602"/>
        <w:rPr>
          <w:rFonts w:cs="Arial"/>
          <w:b/>
          <w:color w:val="000000" w:themeColor="text1"/>
          <w:sz w:val="30"/>
          <w:szCs w:val="30"/>
          <w:highlight w:val="none"/>
          <w14:textFill>
            <w14:solidFill>
              <w14:schemeClr w14:val="tx1"/>
            </w14:solidFill>
          </w14:textFill>
        </w:rPr>
      </w:pPr>
      <w:bookmarkStart w:id="167" w:name="_Hlt26955039"/>
      <w:bookmarkEnd w:id="167"/>
      <w:bookmarkStart w:id="168" w:name="_Hlt26671244"/>
      <w:bookmarkEnd w:id="168"/>
      <w:r>
        <w:rPr>
          <w:rFonts w:hint="eastAsia" w:cs="Arial"/>
          <w:b/>
          <w:color w:val="000000" w:themeColor="text1"/>
          <w:sz w:val="30"/>
          <w:szCs w:val="30"/>
          <w:highlight w:val="none"/>
          <w14:textFill>
            <w14:solidFill>
              <w14:schemeClr w14:val="tx1"/>
            </w14:solidFill>
          </w14:textFill>
        </w:rPr>
        <w:t>第一部分  响应文件内容</w:t>
      </w:r>
    </w:p>
    <w:p w14:paraId="65343350">
      <w:pPr>
        <w:pStyle w:val="344"/>
        <w:spacing w:before="0" w:after="0" w:line="500" w:lineRule="exact"/>
        <w:ind w:firstLine="0"/>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一、</w:t>
      </w:r>
      <w:r>
        <w:rPr>
          <w:rFonts w:hint="eastAsia"/>
          <w:b/>
          <w:color w:val="000000" w:themeColor="text1"/>
          <w:sz w:val="28"/>
          <w:szCs w:val="28"/>
          <w:highlight w:val="none"/>
          <w14:textFill>
            <w14:solidFill>
              <w14:schemeClr w14:val="tx1"/>
            </w14:solidFill>
          </w14:textFill>
        </w:rPr>
        <w:t>资格证明文件</w:t>
      </w:r>
    </w:p>
    <w:tbl>
      <w:tblPr>
        <w:tblStyle w:val="6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7386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14:paraId="3B2A5DA3">
            <w:pPr>
              <w:pStyle w:val="344"/>
              <w:spacing w:before="0" w:after="0" w:line="240" w:lineRule="auto"/>
              <w:ind w:firstLine="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6104" w:type="dxa"/>
            <w:noWrap/>
            <w:vAlign w:val="center"/>
          </w:tcPr>
          <w:p w14:paraId="0EC6185A">
            <w:pPr>
              <w:pStyle w:val="344"/>
              <w:spacing w:before="0" w:after="0" w:line="240" w:lineRule="auto"/>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2449" w:type="dxa"/>
            <w:noWrap/>
            <w:vAlign w:val="center"/>
          </w:tcPr>
          <w:p w14:paraId="6D5C352B">
            <w:pPr>
              <w:pStyle w:val="344"/>
              <w:spacing w:before="0" w:after="0" w:line="240" w:lineRule="auto"/>
              <w:ind w:firstLine="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审查因素</w:t>
            </w:r>
          </w:p>
        </w:tc>
      </w:tr>
      <w:tr w14:paraId="04590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742033E3">
            <w:pPr>
              <w:pStyle w:val="344"/>
              <w:spacing w:before="0" w:after="0" w:line="24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6104" w:type="dxa"/>
            <w:noWrap/>
            <w:vAlign w:val="center"/>
          </w:tcPr>
          <w:p w14:paraId="0F3949EC">
            <w:pPr>
              <w:pStyle w:val="344"/>
              <w:spacing w:before="0" w:after="0" w:line="24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具有独立承担民事责任能力的供应商营业执照或相关部门的登记证明文件扫描件（供应商如允许以分支机构身份参加投标的，提供供应商分支机构的营业执照扫描件；供应商如是自然人情形的，提供有效身份证扫描件）。</w:t>
            </w:r>
          </w:p>
        </w:tc>
        <w:tc>
          <w:tcPr>
            <w:tcW w:w="2449" w:type="dxa"/>
            <w:vMerge w:val="restart"/>
            <w:noWrap/>
            <w:vAlign w:val="center"/>
          </w:tcPr>
          <w:p w14:paraId="42812A07">
            <w:pPr>
              <w:pStyle w:val="344"/>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满足《中华人民共和国政府采购法》第二十二条规定</w:t>
            </w:r>
          </w:p>
        </w:tc>
      </w:tr>
      <w:tr w14:paraId="77A75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64D43C64">
            <w:pPr>
              <w:pStyle w:val="344"/>
              <w:spacing w:before="0" w:after="0" w:line="240" w:lineRule="auto"/>
              <w:ind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104" w:type="dxa"/>
            <w:noWrap/>
            <w:vAlign w:val="center"/>
          </w:tcPr>
          <w:p w14:paraId="42796060">
            <w:pPr>
              <w:pStyle w:val="344"/>
              <w:spacing w:before="0" w:after="0" w:line="24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《授权委托书》（给定格式；供应商如是自然人情形的，可不提供）。</w:t>
            </w:r>
          </w:p>
        </w:tc>
        <w:tc>
          <w:tcPr>
            <w:tcW w:w="2449" w:type="dxa"/>
            <w:vMerge w:val="continue"/>
            <w:noWrap/>
            <w:vAlign w:val="center"/>
          </w:tcPr>
          <w:p w14:paraId="1F0B051E">
            <w:pPr>
              <w:pStyle w:val="344"/>
              <w:spacing w:before="0" w:after="0" w:line="240" w:lineRule="auto"/>
              <w:ind w:firstLine="0"/>
              <w:rPr>
                <w:rFonts w:ascii="宋体" w:hAnsi="宋体" w:cs="宋体"/>
                <w:color w:val="000000" w:themeColor="text1"/>
                <w:highlight w:val="none"/>
                <w14:textFill>
                  <w14:solidFill>
                    <w14:schemeClr w14:val="tx1"/>
                  </w14:solidFill>
                </w14:textFill>
              </w:rPr>
            </w:pPr>
          </w:p>
        </w:tc>
      </w:tr>
      <w:tr w14:paraId="0E7E2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ign w:val="center"/>
          </w:tcPr>
          <w:p w14:paraId="70D0D8CC">
            <w:pPr>
              <w:pStyle w:val="344"/>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104" w:type="dxa"/>
            <w:noWrap/>
            <w:vAlign w:val="center"/>
          </w:tcPr>
          <w:p w14:paraId="7F34637F">
            <w:pPr>
              <w:pStyle w:val="344"/>
              <w:spacing w:before="0" w:after="0" w:line="24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近一年中任意一个月份（不含投标当月）的财务状况报告（资产负债表和利润表）或由会计师事务所出具的近两年中任意一个年度的审计报告和所附已审财务报告（供应商如是自然人情形的，没有经审计的财务报告的，可以提供银行出具的资信证明）</w:t>
            </w:r>
            <w:r>
              <w:rPr>
                <w:rStyle w:val="69"/>
                <w:rFonts w:hint="eastAsia" w:ascii="宋体" w:hAnsi="宋体" w:cs="宋体"/>
                <w:color w:val="000000" w:themeColor="text1"/>
                <w:sz w:val="24"/>
                <w:szCs w:val="24"/>
                <w:highlight w:val="none"/>
                <w14:textFill>
                  <w14:solidFill>
                    <w14:schemeClr w14:val="tx1"/>
                  </w14:solidFill>
                </w14:textFill>
              </w:rPr>
              <w:t>。</w:t>
            </w:r>
          </w:p>
        </w:tc>
        <w:tc>
          <w:tcPr>
            <w:tcW w:w="2449" w:type="dxa"/>
            <w:vMerge w:val="continue"/>
            <w:noWrap/>
            <w:vAlign w:val="center"/>
          </w:tcPr>
          <w:p w14:paraId="1F95892B">
            <w:pPr>
              <w:pStyle w:val="344"/>
              <w:spacing w:before="0" w:after="0" w:line="240" w:lineRule="auto"/>
              <w:ind w:firstLine="0"/>
              <w:rPr>
                <w:rFonts w:ascii="宋体" w:hAnsi="宋体" w:cs="宋体"/>
                <w:color w:val="000000" w:themeColor="text1"/>
                <w:highlight w:val="none"/>
                <w14:textFill>
                  <w14:solidFill>
                    <w14:schemeClr w14:val="tx1"/>
                  </w14:solidFill>
                </w14:textFill>
              </w:rPr>
            </w:pPr>
          </w:p>
        </w:tc>
      </w:tr>
      <w:tr w14:paraId="18B12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ign w:val="center"/>
          </w:tcPr>
          <w:p w14:paraId="537F33BE">
            <w:pPr>
              <w:pStyle w:val="344"/>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104" w:type="dxa"/>
            <w:noWrap/>
            <w:vAlign w:val="center"/>
          </w:tcPr>
          <w:p w14:paraId="7DCB18A8">
            <w:pPr>
              <w:pStyle w:val="344"/>
              <w:spacing w:before="0" w:after="0" w:line="24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供应商近一年中任意一个月份（不含投标当月）的依法缴纳税收的相关材料（提供相关主管部门证明或银行代扣证明）。</w:t>
            </w:r>
          </w:p>
        </w:tc>
        <w:tc>
          <w:tcPr>
            <w:tcW w:w="2449" w:type="dxa"/>
            <w:vMerge w:val="continue"/>
            <w:noWrap/>
            <w:vAlign w:val="center"/>
          </w:tcPr>
          <w:p w14:paraId="1A63FE59">
            <w:pPr>
              <w:pStyle w:val="344"/>
              <w:spacing w:before="0" w:after="0" w:line="240" w:lineRule="auto"/>
              <w:ind w:firstLine="0"/>
              <w:rPr>
                <w:rFonts w:ascii="宋体" w:hAnsi="宋体" w:cs="宋体"/>
                <w:color w:val="000000" w:themeColor="text1"/>
                <w:highlight w:val="none"/>
                <w14:textFill>
                  <w14:solidFill>
                    <w14:schemeClr w14:val="tx1"/>
                  </w14:solidFill>
                </w14:textFill>
              </w:rPr>
            </w:pPr>
          </w:p>
        </w:tc>
      </w:tr>
      <w:tr w14:paraId="60D5D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4BEAEFB5">
            <w:pPr>
              <w:pStyle w:val="344"/>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104" w:type="dxa"/>
            <w:noWrap/>
            <w:vAlign w:val="center"/>
          </w:tcPr>
          <w:p w14:paraId="7A9861EE">
            <w:pPr>
              <w:pStyle w:val="344"/>
              <w:spacing w:before="0" w:after="0" w:line="24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供应商近一年中任意一个月份（不含投标当月）的依法缴纳社会保障资金的相关材料（提供相关主管部门证明或银行代扣证明）。</w:t>
            </w:r>
          </w:p>
        </w:tc>
        <w:tc>
          <w:tcPr>
            <w:tcW w:w="2449" w:type="dxa"/>
            <w:vMerge w:val="continue"/>
            <w:noWrap/>
            <w:vAlign w:val="center"/>
          </w:tcPr>
          <w:p w14:paraId="7B3D39BE">
            <w:pPr>
              <w:pStyle w:val="344"/>
              <w:spacing w:before="0" w:after="0" w:line="240" w:lineRule="auto"/>
              <w:ind w:firstLine="0"/>
              <w:rPr>
                <w:rFonts w:ascii="宋体" w:hAnsi="宋体" w:cs="宋体"/>
                <w:color w:val="000000" w:themeColor="text1"/>
                <w:highlight w:val="none"/>
                <w14:textFill>
                  <w14:solidFill>
                    <w14:schemeClr w14:val="tx1"/>
                  </w14:solidFill>
                </w14:textFill>
              </w:rPr>
            </w:pPr>
          </w:p>
        </w:tc>
      </w:tr>
      <w:tr w14:paraId="58D44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14:paraId="60219EF1">
            <w:pPr>
              <w:pStyle w:val="344"/>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104" w:type="dxa"/>
            <w:tcBorders>
              <w:bottom w:val="single" w:color="000000" w:sz="4" w:space="0"/>
            </w:tcBorders>
            <w:noWrap/>
            <w:vAlign w:val="center"/>
          </w:tcPr>
          <w:p w14:paraId="76B1130E">
            <w:pPr>
              <w:pStyle w:val="344"/>
              <w:spacing w:before="0" w:after="0" w:line="240" w:lineRule="auto"/>
              <w:ind w:firstLine="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《资格声明函》（给定格式）。</w:t>
            </w:r>
          </w:p>
        </w:tc>
        <w:tc>
          <w:tcPr>
            <w:tcW w:w="2449" w:type="dxa"/>
            <w:vMerge w:val="continue"/>
            <w:noWrap/>
            <w:vAlign w:val="center"/>
          </w:tcPr>
          <w:p w14:paraId="448D4418">
            <w:pPr>
              <w:pStyle w:val="344"/>
              <w:spacing w:before="0" w:after="0" w:line="240" w:lineRule="auto"/>
              <w:ind w:firstLine="0"/>
              <w:rPr>
                <w:rFonts w:ascii="宋体" w:hAnsi="宋体" w:cs="宋体"/>
                <w:color w:val="000000" w:themeColor="text1"/>
                <w:highlight w:val="none"/>
                <w14:textFill>
                  <w14:solidFill>
                    <w14:schemeClr w14:val="tx1"/>
                  </w14:solidFill>
                </w14:textFill>
              </w:rPr>
            </w:pPr>
          </w:p>
        </w:tc>
      </w:tr>
      <w:tr w14:paraId="6FFCB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13CB8203">
            <w:pPr>
              <w:pStyle w:val="344"/>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104" w:type="dxa"/>
            <w:noWrap/>
            <w:vAlign w:val="center"/>
          </w:tcPr>
          <w:p w14:paraId="41DF3B81">
            <w:pPr>
              <w:pStyle w:val="344"/>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满足中小企业政策的证明文件（如有中小企业政策要求的）。</w:t>
            </w:r>
          </w:p>
        </w:tc>
        <w:tc>
          <w:tcPr>
            <w:tcW w:w="2449" w:type="dxa"/>
            <w:noWrap/>
            <w:vAlign w:val="center"/>
          </w:tcPr>
          <w:p w14:paraId="26834B72">
            <w:pPr>
              <w:pStyle w:val="344"/>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落实政府采购政策需满足的资格要求，详见第一章《投标邀请》</w:t>
            </w:r>
          </w:p>
        </w:tc>
      </w:tr>
      <w:tr w14:paraId="70542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660FBACA">
            <w:pPr>
              <w:pStyle w:val="344"/>
              <w:spacing w:before="0" w:after="0" w:line="24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8</w:t>
            </w:r>
          </w:p>
        </w:tc>
        <w:tc>
          <w:tcPr>
            <w:tcW w:w="6104" w:type="dxa"/>
            <w:noWrap/>
            <w:vAlign w:val="center"/>
          </w:tcPr>
          <w:p w14:paraId="62F375EE">
            <w:pPr>
              <w:pStyle w:val="344"/>
              <w:spacing w:before="0" w:after="0" w:line="240" w:lineRule="auto"/>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本项目要求的特定资格证明文件：</w:t>
            </w:r>
          </w:p>
          <w:p w14:paraId="0F20A20B">
            <w:pPr>
              <w:pStyle w:val="344"/>
              <w:spacing w:before="0" w:after="0" w:line="240" w:lineRule="auto"/>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投标供应商必须</w:t>
            </w:r>
            <w:r>
              <w:rPr>
                <w:rFonts w:hint="eastAsia" w:ascii="宋体" w:hAnsi="宋体" w:cs="宋体"/>
                <w:color w:val="000000" w:themeColor="text1"/>
                <w:sz w:val="24"/>
                <w:lang w:val="zh-CN"/>
                <w14:textFill>
                  <w14:solidFill>
                    <w14:schemeClr w14:val="tx1"/>
                  </w14:solidFill>
                </w14:textFill>
              </w:rPr>
              <w:t>具有建筑工程施工总承包三级（含）及以上资质</w:t>
            </w:r>
            <w:r>
              <w:rPr>
                <w:rFonts w:hint="eastAsia" w:ascii="宋体" w:hAnsi="宋体" w:cs="宋体"/>
                <w:color w:val="000000" w:themeColor="text1"/>
                <w:sz w:val="24"/>
                <w:lang w:val="en-US" w:eastAsia="zh-CN"/>
                <w14:textFill>
                  <w14:solidFill>
                    <w14:schemeClr w14:val="tx1"/>
                  </w14:solidFill>
                </w14:textFill>
              </w:rPr>
              <w:t>或者建筑装修装饰工程专业承包二级及以上资质</w:t>
            </w:r>
            <w:r>
              <w:rPr>
                <w:rFonts w:hint="eastAsia" w:ascii="宋体" w:hAnsi="宋体" w:eastAsia="宋体" w:cs="宋体"/>
                <w:color w:val="000000" w:themeColor="text1"/>
                <w:highlight w:val="none"/>
                <w14:textFill>
                  <w14:solidFill>
                    <w14:schemeClr w14:val="tx1"/>
                  </w14:solidFill>
                </w14:textFill>
              </w:rPr>
              <w:t>；</w:t>
            </w:r>
          </w:p>
          <w:p w14:paraId="2DFCD920">
            <w:pPr>
              <w:pStyle w:val="344"/>
              <w:spacing w:before="0" w:after="0" w:line="240" w:lineRule="auto"/>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投标供应商必须具备有效期内的安全生产许可证；</w:t>
            </w:r>
          </w:p>
          <w:p w14:paraId="63358AE4">
            <w:pPr>
              <w:pStyle w:val="344"/>
              <w:spacing w:before="0" w:after="0" w:line="240" w:lineRule="auto"/>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项目负责人具备建筑工程专业二级及以上注册建造师证书及有效期内的《建筑施工企业项目负责人安全生产考核合格证》</w:t>
            </w:r>
            <w:r>
              <w:rPr>
                <w:rFonts w:hint="eastAsia" w:ascii="宋体" w:hAnsi="宋体" w:cs="宋体"/>
                <w:color w:val="000000" w:themeColor="text1"/>
                <w:highlight w:val="none"/>
                <w:lang w:val="en-US" w:eastAsia="zh-CN"/>
                <w14:textFill>
                  <w14:solidFill>
                    <w14:schemeClr w14:val="tx1"/>
                  </w14:solidFill>
                </w14:textFill>
              </w:rPr>
              <w:t>B证</w:t>
            </w:r>
            <w:r>
              <w:rPr>
                <w:rFonts w:hint="eastAsia" w:ascii="宋体" w:hAnsi="宋体" w:eastAsia="宋体" w:cs="宋体"/>
                <w:color w:val="000000" w:themeColor="text1"/>
                <w:highlight w:val="none"/>
                <w14:textFill>
                  <w14:solidFill>
                    <w14:schemeClr w14:val="tx1"/>
                  </w14:solidFill>
                </w14:textFill>
              </w:rPr>
              <w:t>。</w:t>
            </w:r>
          </w:p>
          <w:p w14:paraId="3F57B5AF">
            <w:pPr>
              <w:pStyle w:val="344"/>
              <w:spacing w:before="0" w:after="0" w:line="240" w:lineRule="auto"/>
              <w:ind w:firstLine="0"/>
              <w:jc w:val="both"/>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法定代表人授权代表及项目负责人由有关部门出具的近三个月（不含磋商当月）中任意一个月的社保缴费证明（事业单位可提供其他相关证明）</w:t>
            </w:r>
            <w:r>
              <w:rPr>
                <w:rFonts w:hint="eastAsia" w:ascii="宋体" w:hAnsi="宋体" w:cs="宋体"/>
                <w:color w:val="000000" w:themeColor="text1"/>
                <w:highlight w:val="none"/>
                <w:lang w:eastAsia="zh-CN"/>
                <w14:textFill>
                  <w14:solidFill>
                    <w14:schemeClr w14:val="tx1"/>
                  </w14:solidFill>
                </w14:textFill>
              </w:rPr>
              <w:t>。</w:t>
            </w:r>
          </w:p>
        </w:tc>
        <w:tc>
          <w:tcPr>
            <w:tcW w:w="2449" w:type="dxa"/>
            <w:noWrap/>
            <w:vAlign w:val="center"/>
          </w:tcPr>
          <w:p w14:paraId="6B973214">
            <w:pPr>
              <w:pStyle w:val="344"/>
              <w:spacing w:before="0" w:after="0" w:line="240" w:lineRule="auto"/>
              <w:ind w:firstLine="0"/>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特定资格要求，详见第一章《投标邀请》</w:t>
            </w:r>
          </w:p>
        </w:tc>
      </w:tr>
      <w:tr w14:paraId="73EAE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ign w:val="center"/>
          </w:tcPr>
          <w:p w14:paraId="4F6FC98D">
            <w:pPr>
              <w:pStyle w:val="344"/>
              <w:spacing w:before="0" w:after="0" w:line="240" w:lineRule="auto"/>
              <w:ind w:firstLine="0"/>
              <w:jc w:val="cente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9</w:t>
            </w:r>
          </w:p>
        </w:tc>
        <w:tc>
          <w:tcPr>
            <w:tcW w:w="8553" w:type="dxa"/>
            <w:gridSpan w:val="2"/>
            <w:noWrap/>
            <w:vAlign w:val="center"/>
          </w:tcPr>
          <w:p w14:paraId="1F41B267">
            <w:pPr>
              <w:pStyle w:val="344"/>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《联合体协议》（</w:t>
            </w:r>
            <w:r>
              <w:rPr>
                <w:rFonts w:hint="eastAsia" w:ascii="宋体" w:hAnsi="宋体"/>
                <w:color w:val="000000" w:themeColor="text1"/>
                <w:highlight w:val="none"/>
                <w14:textFill>
                  <w14:solidFill>
                    <w14:schemeClr w14:val="tx1"/>
                  </w14:solidFill>
                </w14:textFill>
              </w:rPr>
              <w:t>如接受联合体投标且供应商为联合体时须提供</w:t>
            </w:r>
            <w:r>
              <w:rPr>
                <w:rFonts w:hint="eastAsia" w:ascii="宋体" w:hAnsi="宋体" w:cs="宋体"/>
                <w:bCs/>
                <w:color w:val="000000" w:themeColor="text1"/>
                <w:highlight w:val="none"/>
                <w14:textFill>
                  <w14:solidFill>
                    <w14:schemeClr w14:val="tx1"/>
                  </w14:solidFill>
                </w14:textFill>
              </w:rPr>
              <w:t>，格式自拟）。</w:t>
            </w:r>
          </w:p>
        </w:tc>
      </w:tr>
    </w:tbl>
    <w:p w14:paraId="5C89564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373B96FA">
      <w:pPr>
        <w:numPr>
          <w:ilvl w:val="0"/>
          <w:numId w:val="3"/>
        </w:num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1～8项必须全部按要求提供（有给定格式的，必须按给定格式的要求正确填报并提供，相应格式见本章第二部分），否则响应文件无效。</w:t>
      </w:r>
      <w:r>
        <w:rPr>
          <w:rFonts w:ascii="宋体" w:hAnsi="宋体"/>
          <w:color w:val="000000" w:themeColor="text1"/>
          <w:sz w:val="24"/>
          <w:szCs w:val="24"/>
          <w:highlight w:val="none"/>
          <w14:textFill>
            <w14:solidFill>
              <w14:schemeClr w14:val="tx1"/>
            </w14:solidFill>
          </w14:textFill>
        </w:rPr>
        <w:t>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其中</w:t>
      </w:r>
      <w:r>
        <w:rPr>
          <w:rFonts w:ascii="宋体" w:hAnsi="宋体"/>
          <w:color w:val="000000" w:themeColor="text1"/>
          <w:sz w:val="24"/>
          <w:szCs w:val="24"/>
          <w:highlight w:val="none"/>
          <w14:textFill>
            <w14:solidFill>
              <w14:schemeClr w14:val="tx1"/>
            </w14:solidFill>
          </w14:textFill>
        </w:rPr>
        <w:t>第</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ascii="宋体" w:hAnsi="宋体"/>
          <w:color w:val="000000" w:themeColor="text1"/>
          <w:sz w:val="24"/>
          <w:szCs w:val="24"/>
          <w:highlight w:val="none"/>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等</w:t>
      </w:r>
      <w:r>
        <w:rPr>
          <w:rFonts w:ascii="宋体" w:hAnsi="宋体"/>
          <w:color w:val="000000" w:themeColor="text1"/>
          <w:sz w:val="24"/>
          <w:szCs w:val="24"/>
          <w:highlight w:val="none"/>
          <w14:textFill>
            <w14:solidFill>
              <w14:schemeClr w14:val="tx1"/>
            </w14:solidFill>
          </w14:textFill>
        </w:rPr>
        <w:t>），必须提供相关政策规定或相关单位出具的有效证明扫描件；如因新成立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确无法提供</w:t>
      </w:r>
      <w:r>
        <w:rPr>
          <w:rFonts w:ascii="宋体" w:hAnsi="宋体"/>
          <w:color w:val="000000" w:themeColor="text1"/>
          <w:sz w:val="24"/>
          <w:szCs w:val="24"/>
          <w:highlight w:val="none"/>
          <w14:textFill>
            <w14:solidFill>
              <w14:schemeClr w14:val="tx1"/>
            </w14:solidFill>
          </w14:textFill>
        </w:rPr>
        <w:t>的，可以不提供。</w:t>
      </w:r>
    </w:p>
    <w:p w14:paraId="5E8DD785">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CFB32A0">
      <w:pPr>
        <w:numPr>
          <w:ilvl w:val="0"/>
          <w:numId w:val="3"/>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7项，如本项目落实政府采购政策需满足的资格要求中有中小企业政策要求的（详见第一章《投标邀请》），必须提供相应证明文件，否则响应文件无效。</w:t>
      </w:r>
    </w:p>
    <w:p w14:paraId="40434E9C">
      <w:p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专门面向中小</w:t>
      </w:r>
      <w:r>
        <w:rPr>
          <w:rFonts w:hint="eastAsia" w:ascii="宋体" w:hAnsi="宋体"/>
          <w:color w:val="000000" w:themeColor="text1"/>
          <w:sz w:val="24"/>
          <w:szCs w:val="24"/>
          <w:highlight w:val="none"/>
          <w14:textFill>
            <w14:solidFill>
              <w14:schemeClr w14:val="tx1"/>
            </w14:solidFill>
          </w14:textFill>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D6B4E61">
      <w:pPr>
        <w:numPr>
          <w:ilvl w:val="0"/>
          <w:numId w:val="3"/>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8项，如本项目有特定资格要求的（详见第一章《投标邀请》），须提供相应的特定资格证明文件。</w:t>
      </w:r>
    </w:p>
    <w:p w14:paraId="392B3810">
      <w:pPr>
        <w:numPr>
          <w:ilvl w:val="0"/>
          <w:numId w:val="3"/>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9项，如本项目接受联合体投标的（详见第一章《投标邀请》），且供应商为联合体时，必须提供《联合体协议》（格式自拟，明确各方拟承担的工作和责任，并指定联合体牵头人，授权其代表所有联合体成员负责本项目投标和合同实施阶段的牵头、协调工作），否则响应文件无效。</w:t>
      </w:r>
    </w:p>
    <w:p w14:paraId="4E5C6CD8">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如项目接受联合体投标且供应商为联合体时，</w:t>
      </w: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中：第2、6项可由联合体主体单位（即联合体牵头人）代表联合体提供；第1、3、4、5、7（如有要求）、8（如有要求）项，联合体各方均须提供。</w:t>
      </w:r>
    </w:p>
    <w:p w14:paraId="57531AE1">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二、符合性证明文件及其他证明文件</w:t>
      </w:r>
    </w:p>
    <w:p w14:paraId="7F953A66">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（一）符合性证明文件</w:t>
      </w:r>
    </w:p>
    <w:tbl>
      <w:tblPr>
        <w:tblStyle w:val="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7DD93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40C7819C">
            <w:pPr>
              <w:pStyle w:val="344"/>
              <w:spacing w:before="0" w:after="0" w:line="240" w:lineRule="auto"/>
              <w:ind w:firstLine="0"/>
              <w:jc w:val="center"/>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序号</w:t>
            </w:r>
          </w:p>
        </w:tc>
        <w:tc>
          <w:tcPr>
            <w:tcW w:w="6095" w:type="dxa"/>
            <w:noWrap/>
            <w:vAlign w:val="center"/>
          </w:tcPr>
          <w:p w14:paraId="4CC98D66">
            <w:pPr>
              <w:pStyle w:val="344"/>
              <w:spacing w:before="0" w:after="0" w:line="240" w:lineRule="auto"/>
              <w:ind w:firstLine="0"/>
              <w:jc w:val="center"/>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1979" w:type="dxa"/>
            <w:noWrap/>
            <w:vAlign w:val="center"/>
          </w:tcPr>
          <w:p w14:paraId="5D84DF07">
            <w:pPr>
              <w:pStyle w:val="344"/>
              <w:spacing w:before="0" w:after="0" w:line="240" w:lineRule="auto"/>
              <w:ind w:firstLine="0"/>
              <w:jc w:val="center"/>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审查因素</w:t>
            </w:r>
          </w:p>
        </w:tc>
      </w:tr>
      <w:tr w14:paraId="1B2C8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4087C6F">
            <w:pPr>
              <w:pStyle w:val="344"/>
              <w:spacing w:before="0" w:after="0" w:line="240" w:lineRule="auto"/>
              <w:ind w:firstLine="0"/>
              <w:jc w:val="center"/>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1</w:t>
            </w:r>
          </w:p>
        </w:tc>
        <w:tc>
          <w:tcPr>
            <w:tcW w:w="6095" w:type="dxa"/>
            <w:noWrap/>
            <w:vAlign w:val="center"/>
          </w:tcPr>
          <w:p w14:paraId="5DB6FF60">
            <w:pPr>
              <w:pStyle w:val="344"/>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投标函（给定格式）</w:t>
            </w:r>
          </w:p>
        </w:tc>
        <w:tc>
          <w:tcPr>
            <w:tcW w:w="1979" w:type="dxa"/>
            <w:vMerge w:val="restart"/>
            <w:noWrap/>
            <w:vAlign w:val="center"/>
          </w:tcPr>
          <w:p w14:paraId="797FF8DB">
            <w:pPr>
              <w:pStyle w:val="344"/>
              <w:spacing w:before="0" w:after="0" w:line="240" w:lineRule="auto"/>
              <w:ind w:firstLine="0"/>
              <w:jc w:val="center"/>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商务符合性</w:t>
            </w:r>
          </w:p>
        </w:tc>
      </w:tr>
      <w:tr w14:paraId="4DC2C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31A02D94">
            <w:pPr>
              <w:pStyle w:val="344"/>
              <w:spacing w:before="0" w:after="0" w:line="240" w:lineRule="auto"/>
              <w:ind w:firstLine="0"/>
              <w:jc w:val="center"/>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2</w:t>
            </w:r>
          </w:p>
        </w:tc>
        <w:tc>
          <w:tcPr>
            <w:tcW w:w="6095" w:type="dxa"/>
            <w:noWrap/>
            <w:vAlign w:val="center"/>
          </w:tcPr>
          <w:p w14:paraId="2A179B59">
            <w:pPr>
              <w:pStyle w:val="344"/>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承诺书（给定格式）</w:t>
            </w:r>
          </w:p>
        </w:tc>
        <w:tc>
          <w:tcPr>
            <w:tcW w:w="1979" w:type="dxa"/>
            <w:vMerge w:val="continue"/>
            <w:noWrap/>
            <w:vAlign w:val="center"/>
          </w:tcPr>
          <w:p w14:paraId="348AF600">
            <w:pPr>
              <w:pStyle w:val="344"/>
              <w:spacing w:before="0" w:after="0" w:line="240" w:lineRule="auto"/>
              <w:ind w:firstLine="0"/>
              <w:jc w:val="center"/>
              <w:rPr>
                <w:rFonts w:cs="Arial"/>
                <w:color w:val="000000" w:themeColor="text1"/>
                <w:highlight w:val="none"/>
                <w14:textFill>
                  <w14:solidFill>
                    <w14:schemeClr w14:val="tx1"/>
                  </w14:solidFill>
                </w14:textFill>
              </w:rPr>
            </w:pPr>
          </w:p>
        </w:tc>
      </w:tr>
      <w:tr w14:paraId="36B83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42247275">
            <w:pPr>
              <w:pStyle w:val="344"/>
              <w:spacing w:before="0" w:after="0"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6095" w:type="dxa"/>
            <w:noWrap/>
            <w:vAlign w:val="center"/>
          </w:tcPr>
          <w:p w14:paraId="38ED0FDA">
            <w:pPr>
              <w:pStyle w:val="344"/>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开标一览表（“苏采云”系统中给定格式）</w:t>
            </w:r>
          </w:p>
        </w:tc>
        <w:tc>
          <w:tcPr>
            <w:tcW w:w="1979" w:type="dxa"/>
            <w:vMerge w:val="restart"/>
            <w:noWrap/>
            <w:vAlign w:val="center"/>
          </w:tcPr>
          <w:p w14:paraId="60291638">
            <w:pPr>
              <w:pStyle w:val="344"/>
              <w:spacing w:before="0" w:after="0" w:line="240" w:lineRule="auto"/>
              <w:ind w:firstLine="0"/>
              <w:jc w:val="center"/>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报价符合性</w:t>
            </w:r>
          </w:p>
        </w:tc>
      </w:tr>
      <w:tr w14:paraId="14E54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B188DE8">
            <w:pPr>
              <w:pStyle w:val="344"/>
              <w:spacing w:before="0" w:after="0"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6095" w:type="dxa"/>
            <w:noWrap/>
            <w:vAlign w:val="center"/>
          </w:tcPr>
          <w:p w14:paraId="72EC1690">
            <w:pPr>
              <w:pStyle w:val="344"/>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分项报价表（给定格式）</w:t>
            </w:r>
          </w:p>
        </w:tc>
        <w:tc>
          <w:tcPr>
            <w:tcW w:w="1979" w:type="dxa"/>
            <w:vMerge w:val="continue"/>
            <w:noWrap/>
            <w:vAlign w:val="center"/>
          </w:tcPr>
          <w:p w14:paraId="7EE275B6">
            <w:pPr>
              <w:pStyle w:val="344"/>
              <w:spacing w:before="0" w:after="0" w:line="240" w:lineRule="auto"/>
              <w:ind w:firstLine="0"/>
              <w:jc w:val="center"/>
              <w:rPr>
                <w:rFonts w:cs="Arial"/>
                <w:color w:val="000000" w:themeColor="text1"/>
                <w:highlight w:val="none"/>
                <w14:textFill>
                  <w14:solidFill>
                    <w14:schemeClr w14:val="tx1"/>
                  </w14:solidFill>
                </w14:textFill>
              </w:rPr>
            </w:pPr>
          </w:p>
        </w:tc>
      </w:tr>
      <w:tr w14:paraId="61379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67FED90D">
            <w:pPr>
              <w:pStyle w:val="344"/>
              <w:spacing w:before="0" w:after="0"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6095" w:type="dxa"/>
            <w:noWrap/>
            <w:vAlign w:val="center"/>
          </w:tcPr>
          <w:p w14:paraId="0F4BDAE4">
            <w:pPr>
              <w:pStyle w:val="344"/>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投标偏离表（给定格式）</w:t>
            </w:r>
          </w:p>
        </w:tc>
        <w:tc>
          <w:tcPr>
            <w:tcW w:w="1979" w:type="dxa"/>
            <w:vMerge w:val="restart"/>
            <w:noWrap/>
            <w:vAlign w:val="center"/>
          </w:tcPr>
          <w:p w14:paraId="4BC41148">
            <w:pPr>
              <w:pStyle w:val="344"/>
              <w:spacing w:before="0" w:after="0" w:line="240" w:lineRule="auto"/>
              <w:ind w:firstLine="0"/>
              <w:jc w:val="center"/>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技术符合性</w:t>
            </w:r>
          </w:p>
        </w:tc>
      </w:tr>
      <w:tr w14:paraId="26ACF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19C87108">
            <w:pPr>
              <w:pStyle w:val="344"/>
              <w:spacing w:before="0" w:after="0" w:line="240" w:lineRule="auto"/>
              <w:ind w:firstLine="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6095" w:type="dxa"/>
            <w:noWrap/>
            <w:vAlign w:val="center"/>
          </w:tcPr>
          <w:p w14:paraId="3122A4E4">
            <w:pPr>
              <w:pStyle w:val="344"/>
              <w:spacing w:before="0" w:after="0" w:line="240" w:lineRule="auto"/>
              <w:ind w:firstLine="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《采购需求》中要求提供的证明材料（如有）</w:t>
            </w:r>
          </w:p>
        </w:tc>
        <w:tc>
          <w:tcPr>
            <w:tcW w:w="1979" w:type="dxa"/>
            <w:vMerge w:val="continue"/>
            <w:noWrap/>
            <w:vAlign w:val="center"/>
          </w:tcPr>
          <w:p w14:paraId="6B4A9602">
            <w:pPr>
              <w:pStyle w:val="344"/>
              <w:spacing w:before="0" w:after="0" w:line="240" w:lineRule="auto"/>
              <w:ind w:firstLine="0"/>
              <w:jc w:val="center"/>
              <w:rPr>
                <w:rFonts w:cs="Arial"/>
                <w:color w:val="000000" w:themeColor="text1"/>
                <w:highlight w:val="none"/>
                <w14:textFill>
                  <w14:solidFill>
                    <w14:schemeClr w14:val="tx1"/>
                  </w14:solidFill>
                </w14:textFill>
              </w:rPr>
            </w:pPr>
          </w:p>
        </w:tc>
      </w:tr>
    </w:tbl>
    <w:p w14:paraId="6F90F82A">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55991AF0">
      <w:pPr>
        <w:numPr>
          <w:ilvl w:val="0"/>
          <w:numId w:val="4"/>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cs="Arial"/>
          <w:color w:val="000000" w:themeColor="text1"/>
          <w:sz w:val="24"/>
          <w:szCs w:val="24"/>
          <w:highlight w:val="none"/>
          <w14:textFill>
            <w14:solidFill>
              <w14:schemeClr w14:val="tx1"/>
            </w14:solidFill>
          </w14:textFill>
        </w:rPr>
        <w:t>符合性证明文件第</w:t>
      </w:r>
      <w:r>
        <w:rPr>
          <w:rFonts w:hint="eastAsia" w:ascii="宋体" w:hAnsi="宋体"/>
          <w:color w:val="000000" w:themeColor="text1"/>
          <w:sz w:val="24"/>
          <w:szCs w:val="24"/>
          <w:highlight w:val="none"/>
          <w14:textFill>
            <w14:solidFill>
              <w14:schemeClr w14:val="tx1"/>
            </w14:solidFill>
          </w14:textFill>
        </w:rPr>
        <w:t>1～5项必须按要求全部提供（有给定格式的，必须按给定格式的要求正确填报并提供，相应格式见本章第二部分），否则响应文件无效。</w:t>
      </w:r>
    </w:p>
    <w:p w14:paraId="28ECD0CC">
      <w:pPr>
        <w:numPr>
          <w:ilvl w:val="0"/>
          <w:numId w:val="4"/>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ascii="宋体" w:hAnsi="宋体" w:cs="Arial"/>
          <w:color w:val="000000" w:themeColor="text1"/>
          <w:sz w:val="24"/>
          <w:szCs w:val="24"/>
          <w:highlight w:val="none"/>
          <w14:textFill>
            <w14:solidFill>
              <w14:schemeClr w14:val="tx1"/>
            </w14:solidFill>
          </w14:textFill>
        </w:rPr>
        <w:t>符合性证明文件第6项，《采购需求》中如有要求提供证明材料的，须按要求提供，否则响应文件无效。</w:t>
      </w:r>
    </w:p>
    <w:p w14:paraId="3669B336">
      <w:pPr>
        <w:numPr>
          <w:ilvl w:val="0"/>
          <w:numId w:val="4"/>
        </w:num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如项目接受联合体投标，且供应商为联合体时，上述</w:t>
      </w:r>
      <w:r>
        <w:rPr>
          <w:rFonts w:hint="eastAsia" w:cs="Arial"/>
          <w:color w:val="000000" w:themeColor="text1"/>
          <w:sz w:val="24"/>
          <w:szCs w:val="24"/>
          <w:highlight w:val="none"/>
          <w14:textFill>
            <w14:solidFill>
              <w14:schemeClr w14:val="tx1"/>
            </w14:solidFill>
          </w14:textFill>
        </w:rPr>
        <w:t>符合性证明文件</w:t>
      </w:r>
      <w:r>
        <w:rPr>
          <w:rFonts w:hint="eastAsia" w:ascii="宋体" w:hAnsi="宋体" w:cs="宋体"/>
          <w:color w:val="000000" w:themeColor="text1"/>
          <w:sz w:val="24"/>
          <w:szCs w:val="24"/>
          <w:highlight w:val="none"/>
          <w14:textFill>
            <w14:solidFill>
              <w14:schemeClr w14:val="tx1"/>
            </w14:solidFill>
          </w14:textFill>
        </w:rPr>
        <w:t>第1～5项可由联合体主体单位（即联合体牵头人）代表联合体提供。第6项按《采购需求》中的相应要求（如有）进行提供。</w:t>
      </w:r>
    </w:p>
    <w:p w14:paraId="674E209E">
      <w:pPr>
        <w:rPr>
          <w:b/>
          <w:color w:val="000000" w:themeColor="text1"/>
          <w:sz w:val="28"/>
          <w:szCs w:val="28"/>
          <w:highlight w:val="none"/>
          <w14:textFill>
            <w14:solidFill>
              <w14:schemeClr w14:val="tx1"/>
            </w14:solidFill>
          </w14:textFill>
        </w:rPr>
      </w:pPr>
    </w:p>
    <w:p w14:paraId="1144813A">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（二）其他证明文件</w:t>
      </w:r>
    </w:p>
    <w:p w14:paraId="73DF2A13">
      <w:pPr>
        <w:spacing w:line="500" w:lineRule="exact"/>
        <w:ind w:left="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1.《评标方法与评标标准》中涉及的证明文件。</w:t>
      </w:r>
    </w:p>
    <w:p w14:paraId="2723D6ED">
      <w:pPr>
        <w:autoSpaceDE/>
        <w:autoSpaceDN/>
        <w:adjustRightInd/>
        <w:spacing w:line="460" w:lineRule="exact"/>
        <w:ind w:firstLine="480"/>
        <w:outlineLvl w:val="9"/>
        <w:rPr>
          <w:rFonts w:hint="default" w:ascii="宋体" w:hAnsi="宋体" w:eastAsia="宋体" w:cs="Times New Roman"/>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2.供应商认为如有其他应附的文件可自拟并自行添加。</w:t>
      </w:r>
    </w:p>
    <w:p w14:paraId="244BC599">
      <w:pPr>
        <w:autoSpaceDE/>
        <w:autoSpaceDN/>
        <w:adjustRightInd/>
        <w:spacing w:line="460" w:lineRule="exact"/>
        <w:ind w:firstLine="480"/>
        <w:outlineLvl w:val="9"/>
        <w:rPr>
          <w:rFonts w:hint="eastAsia" w:ascii="宋体" w:hAnsi="宋体" w:eastAsia="宋体" w:cs="Times New Roman"/>
          <w:b w:val="0"/>
          <w:bCs w:val="0"/>
          <w:color w:val="000000" w:themeColor="text1"/>
          <w:sz w:val="24"/>
          <w:szCs w:val="24"/>
          <w:highlight w:val="none"/>
          <w14:textFill>
            <w14:solidFill>
              <w14:schemeClr w14:val="tx1"/>
            </w14:solidFill>
          </w14:textFill>
        </w:rPr>
      </w:pPr>
    </w:p>
    <w:p w14:paraId="75D53121">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r>
    </w:p>
    <w:p w14:paraId="488B2432">
      <w:pPr>
        <w:pStyle w:val="6"/>
        <w:rPr>
          <w:color w:val="000000" w:themeColor="text1"/>
          <w:highlight w:val="none"/>
          <w14:textFill>
            <w14:solidFill>
              <w14:schemeClr w14:val="tx1"/>
            </w14:solidFill>
          </w14:textFill>
        </w:rPr>
      </w:pPr>
    </w:p>
    <w:p w14:paraId="2910D2A3">
      <w:pPr>
        <w:rPr>
          <w:rFonts w:hint="eastAsia" w:ascii="宋体" w:hAnsi="宋体" w:cs="宋体"/>
          <w:b/>
          <w:bCs/>
          <w:color w:val="000000" w:themeColor="text1"/>
          <w:sz w:val="44"/>
          <w:szCs w:val="44"/>
          <w:highlight w:val="none"/>
          <w14:textFill>
            <w14:solidFill>
              <w14:schemeClr w14:val="tx1"/>
            </w14:solidFill>
          </w14:textFill>
        </w:rPr>
      </w:pPr>
    </w:p>
    <w:p w14:paraId="79483415">
      <w:pPr>
        <w:spacing w:line="360" w:lineRule="auto"/>
        <w:jc w:val="center"/>
        <w:outlineLvl w:val="0"/>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五、附件响应文件</w:t>
      </w:r>
    </w:p>
    <w:p w14:paraId="1C182DEC">
      <w:pPr>
        <w:pStyle w:val="344"/>
        <w:spacing w:before="0" w:after="0"/>
        <w:ind w:firstLine="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一、封面格式（参考格式）：</w:t>
      </w:r>
    </w:p>
    <w:p w14:paraId="78EBA86F">
      <w:pPr>
        <w:jc w:val="center"/>
        <w:rPr>
          <w:rFonts w:ascii="宋体" w:hAnsi="宋体"/>
          <w:b/>
          <w:color w:val="000000" w:themeColor="text1"/>
          <w:sz w:val="72"/>
          <w:highlight w:val="none"/>
          <w:shd w:val="clear" w:color="FFFFFF" w:fill="D9D9D9"/>
          <w14:textFill>
            <w14:solidFill>
              <w14:schemeClr w14:val="tx1"/>
            </w14:solidFill>
          </w14:textFill>
        </w:rPr>
      </w:pPr>
    </w:p>
    <w:p w14:paraId="1BC8CE5C">
      <w:pPr>
        <w:jc w:val="center"/>
        <w:rPr>
          <w:rFonts w:ascii="宋体" w:hAnsi="宋体"/>
          <w:b/>
          <w:color w:val="000000" w:themeColor="text1"/>
          <w:sz w:val="72"/>
          <w:highlight w:val="none"/>
          <w:shd w:val="clear" w:color="FFFFFF" w:fill="D9D9D9"/>
          <w14:textFill>
            <w14:solidFill>
              <w14:schemeClr w14:val="tx1"/>
            </w14:solidFill>
          </w14:textFill>
        </w:rPr>
      </w:pPr>
    </w:p>
    <w:p w14:paraId="10D0CC95">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响  应  文  件</w:t>
      </w:r>
    </w:p>
    <w:p w14:paraId="1E673813">
      <w:pPr>
        <w:jc w:val="center"/>
        <w:rPr>
          <w:rFonts w:ascii="宋体" w:hAnsi="宋体"/>
          <w:b/>
          <w:color w:val="000000" w:themeColor="text1"/>
          <w:sz w:val="72"/>
          <w:highlight w:val="none"/>
          <w:shd w:val="clear" w:color="FFFFFF" w:fill="D9D9D9"/>
          <w14:textFill>
            <w14:solidFill>
              <w14:schemeClr w14:val="tx1"/>
            </w14:solidFill>
          </w14:textFill>
        </w:rPr>
      </w:pPr>
    </w:p>
    <w:p w14:paraId="3C24A21B">
      <w:pPr>
        <w:jc w:val="center"/>
        <w:rPr>
          <w:rFonts w:ascii="宋体" w:hAnsi="宋体"/>
          <w:b/>
          <w:color w:val="000000" w:themeColor="text1"/>
          <w:sz w:val="72"/>
          <w:highlight w:val="none"/>
          <w:shd w:val="clear" w:color="FFFFFF" w:fill="D9D9D9"/>
          <w14:textFill>
            <w14:solidFill>
              <w14:schemeClr w14:val="tx1"/>
            </w14:solidFill>
          </w14:textFill>
        </w:rPr>
      </w:pPr>
    </w:p>
    <w:p w14:paraId="071EB845">
      <w:pPr>
        <w:jc w:val="center"/>
        <w:rPr>
          <w:rFonts w:ascii="宋体" w:hAnsi="宋体"/>
          <w:b/>
          <w:color w:val="000000" w:themeColor="text1"/>
          <w:sz w:val="72"/>
          <w:highlight w:val="none"/>
          <w:shd w:val="clear" w:color="FFFFFF" w:fill="D9D9D9"/>
          <w14:textFill>
            <w14:solidFill>
              <w14:schemeClr w14:val="tx1"/>
            </w14:solidFill>
          </w14:textFill>
        </w:rPr>
      </w:pPr>
    </w:p>
    <w:p w14:paraId="4926A588">
      <w:pPr>
        <w:jc w:val="center"/>
        <w:rPr>
          <w:rFonts w:ascii="宋体" w:hAnsi="宋体"/>
          <w:b/>
          <w:color w:val="000000" w:themeColor="text1"/>
          <w:sz w:val="72"/>
          <w:highlight w:val="none"/>
          <w:shd w:val="clear" w:color="FFFFFF" w:fill="D9D9D9"/>
          <w14:textFill>
            <w14:solidFill>
              <w14:schemeClr w14:val="tx1"/>
            </w14:solidFill>
          </w14:textFill>
        </w:rPr>
      </w:pPr>
    </w:p>
    <w:p w14:paraId="129ADDBF">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项目编号：</w:t>
      </w:r>
    </w:p>
    <w:p w14:paraId="0AFEE032">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项目名称：</w:t>
      </w:r>
    </w:p>
    <w:p w14:paraId="0EFB39A9">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供 应 商：</w:t>
      </w:r>
    </w:p>
    <w:p w14:paraId="2FD2FF48">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日    期：</w:t>
      </w:r>
    </w:p>
    <w:p w14:paraId="0C53655D">
      <w:pPr>
        <w:spacing w:line="360" w:lineRule="auto"/>
        <w:outlineLvl w:val="1"/>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32588DE9">
      <w:pPr>
        <w:spacing w:line="440" w:lineRule="exact"/>
        <w:rPr>
          <w:rFonts w:ascii="Arial" w:hAnsi="Arial"/>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二、授权委托书（给定格式）：</w:t>
      </w:r>
    </w:p>
    <w:p w14:paraId="13BAD2B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color w:val="000000" w:themeColor="text1"/>
          <w:sz w:val="24"/>
          <w:highlight w:val="none"/>
          <w:shd w:val="clear" w:color="FFFFFF" w:fill="D9D9D9"/>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授权委托书</w:t>
      </w:r>
    </w:p>
    <w:p w14:paraId="0FF9C5E4">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48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我公司（单位、联合体）针对</w:t>
      </w:r>
      <w:r>
        <w:rPr>
          <w:rFonts w:hint="eastAsia" w:ascii="宋体" w:hAnsi="宋体"/>
          <w:bCs/>
          <w:color w:val="000000" w:themeColor="text1"/>
          <w:sz w:val="24"/>
          <w:szCs w:val="24"/>
          <w:highlight w:val="none"/>
          <w:lang w:eastAsia="zh-CN"/>
          <w14:textFill>
            <w14:solidFill>
              <w14:schemeClr w14:val="tx1"/>
            </w14:solidFill>
          </w14:textFill>
        </w:rPr>
        <w:t>JSZC-320200-SXZT-C2025-0060</w:t>
      </w:r>
      <w:r>
        <w:rPr>
          <w:rFonts w:hint="eastAsia" w:ascii="宋体" w:hAnsi="宋体"/>
          <w:bCs/>
          <w:color w:val="000000" w:themeColor="text1"/>
          <w:sz w:val="24"/>
          <w:szCs w:val="24"/>
          <w:highlight w:val="none"/>
          <w14:textFill>
            <w14:solidFill>
              <w14:schemeClr w14:val="tx1"/>
            </w14:solidFill>
          </w14:textFill>
        </w:rPr>
        <w:t>项目，兹授权：</w:t>
      </w:r>
    </w:p>
    <w:p w14:paraId="665CEAC9">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48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被授权人的姓名：；性别：；年龄：；职务：；</w:t>
      </w:r>
    </w:p>
    <w:p w14:paraId="1EF8F9E7">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48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被授权人的身份证号码：；联系方式：；</w:t>
      </w:r>
    </w:p>
    <w:p w14:paraId="6B015BD6">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48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一切与该项目采购有关的事务。</w:t>
      </w:r>
    </w:p>
    <w:p w14:paraId="49AE68E4">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本授权委托书自授权之日起生效，</w:t>
      </w:r>
      <w:r>
        <w:rPr>
          <w:rFonts w:hint="eastAsia" w:ascii="宋体" w:hAnsi="宋体"/>
          <w:bCs/>
          <w:color w:val="000000" w:themeColor="text1"/>
          <w:sz w:val="24"/>
          <w:szCs w:val="24"/>
          <w:highlight w:val="none"/>
          <w14:textFill>
            <w14:solidFill>
              <w14:schemeClr w14:val="tx1"/>
            </w14:solidFill>
          </w14:textFill>
        </w:rPr>
        <w:t>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授权委托</w:t>
      </w:r>
      <w:r>
        <w:rPr>
          <w:rFonts w:hint="eastAsia" w:ascii="宋体" w:hAnsi="宋体"/>
          <w:bCs/>
          <w:color w:val="000000" w:themeColor="text1"/>
          <w:sz w:val="24"/>
          <w:szCs w:val="24"/>
          <w:highlight w:val="none"/>
          <w14:textFill>
            <w14:solidFill>
              <w14:schemeClr w14:val="tx1"/>
            </w14:solidFill>
          </w14:textFill>
        </w:rPr>
        <w:t>书有效期内签署的）不因授权的撤销而失效。</w:t>
      </w:r>
    </w:p>
    <w:p w14:paraId="30B69B0D">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48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特此授权委托。</w:t>
      </w:r>
    </w:p>
    <w:p w14:paraId="35787F5E">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0"/>
        <w:textAlignment w:val="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授权日期：年月日                     供应商名称</w:t>
      </w:r>
      <w:r>
        <w:rPr>
          <w:rFonts w:hint="eastAsia" w:ascii="宋体" w:hAnsi="宋体"/>
          <w:bCs/>
          <w:color w:val="000000" w:themeColor="text1"/>
          <w:sz w:val="24"/>
          <w:szCs w:val="24"/>
          <w:highlight w:val="none"/>
          <w14:textFill>
            <w14:solidFill>
              <w14:schemeClr w14:val="tx1"/>
            </w14:solidFill>
          </w14:textFill>
        </w:rPr>
        <w:t>（盖章）</w:t>
      </w:r>
      <w:r>
        <w:rPr>
          <w:rFonts w:hint="eastAsia"/>
          <w:color w:val="000000" w:themeColor="text1"/>
          <w:sz w:val="24"/>
          <w:szCs w:val="24"/>
          <w:highlight w:val="none"/>
          <w14:textFill>
            <w14:solidFill>
              <w14:schemeClr w14:val="tx1"/>
            </w14:solidFill>
          </w14:textFill>
        </w:rPr>
        <w:t>：</w:t>
      </w:r>
    </w:p>
    <w:p w14:paraId="15DBAD90">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               被授权人签字或盖章：</w:t>
      </w:r>
    </w:p>
    <w:p w14:paraId="59597784">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0"/>
        <w:textAlignment w:val="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（被授权人身份证原件扫描件附后）</w:t>
      </w:r>
    </w:p>
    <w:p w14:paraId="6D759EA1">
      <w:pPr>
        <w:pStyle w:val="333"/>
        <w:keepNext w:val="0"/>
        <w:keepLines w:val="0"/>
        <w:pageBreakBefore w:val="0"/>
        <w:widowControl w:val="0"/>
        <w:tabs>
          <w:tab w:val="left" w:pos="360"/>
          <w:tab w:val="clear" w:pos="1080"/>
        </w:tabs>
        <w:kinsoku/>
        <w:wordWrap/>
        <w:overflowPunct/>
        <w:topLinePunct w:val="0"/>
        <w:autoSpaceDE/>
        <w:autoSpaceDN/>
        <w:bidi w:val="0"/>
        <w:adjustRightInd/>
        <w:snapToGrid/>
        <w:spacing w:line="360" w:lineRule="auto"/>
        <w:ind w:firstLine="0"/>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说明：</w:t>
      </w:r>
    </w:p>
    <w:p w14:paraId="25133C79">
      <w:pPr>
        <w:pStyle w:val="333"/>
        <w:keepNext w:val="0"/>
        <w:keepLines w:val="0"/>
        <w:pageBreakBefore w:val="0"/>
        <w:widowControl w:val="0"/>
        <w:numPr>
          <w:ilvl w:val="0"/>
          <w:numId w:val="5"/>
        </w:numPr>
        <w:tabs>
          <w:tab w:val="left" w:pos="360"/>
          <w:tab w:val="clear" w:pos="1080"/>
        </w:tabs>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若</w:t>
      </w:r>
      <w:r>
        <w:rPr>
          <w:rFonts w:hint="eastAsia" w:ascii="宋体" w:hAnsi="宋体"/>
          <w:color w:val="000000" w:themeColor="text1"/>
          <w:sz w:val="24"/>
          <w:szCs w:val="20"/>
          <w:highlight w:val="none"/>
          <w14:textFill>
            <w14:solidFill>
              <w14:schemeClr w14:val="tx1"/>
            </w14:solidFill>
          </w14:textFill>
        </w:rPr>
        <w:t>供应商</w:t>
      </w:r>
      <w:r>
        <w:rPr>
          <w:rFonts w:ascii="宋体" w:hAnsi="宋体"/>
          <w:color w:val="000000" w:themeColor="text1"/>
          <w:sz w:val="24"/>
          <w:szCs w:val="20"/>
          <w:highlight w:val="none"/>
          <w14:textFill>
            <w14:solidFill>
              <w14:schemeClr w14:val="tx1"/>
            </w14:solidFill>
          </w14:textFill>
        </w:rPr>
        <w:t>为事业单位或其他组织或分支机构（仅</w:t>
      </w:r>
      <w:r>
        <w:rPr>
          <w:rFonts w:hint="eastAsia" w:ascii="宋体" w:hAnsi="宋体"/>
          <w:color w:val="000000" w:themeColor="text1"/>
          <w:sz w:val="24"/>
          <w:szCs w:val="20"/>
          <w:highlight w:val="none"/>
          <w14:textFill>
            <w14:solidFill>
              <w14:schemeClr w14:val="tx1"/>
            </w14:solidFill>
          </w14:textFill>
        </w:rPr>
        <w:t>限磋商文件</w:t>
      </w:r>
      <w:r>
        <w:rPr>
          <w:rFonts w:ascii="宋体" w:hAnsi="宋体"/>
          <w:color w:val="000000" w:themeColor="text1"/>
          <w:sz w:val="24"/>
          <w:szCs w:val="20"/>
          <w:highlight w:val="none"/>
          <w14:textFill>
            <w14:solidFill>
              <w14:schemeClr w14:val="tx1"/>
            </w14:solidFill>
          </w14:textFill>
        </w:rPr>
        <w:t>注明允许分支机构</w:t>
      </w:r>
      <w:r>
        <w:rPr>
          <w:rFonts w:hint="eastAsia" w:ascii="宋体" w:hAnsi="宋体"/>
          <w:color w:val="000000" w:themeColor="text1"/>
          <w:sz w:val="24"/>
          <w:szCs w:val="20"/>
          <w:highlight w:val="none"/>
          <w14:textFill>
            <w14:solidFill>
              <w14:schemeClr w14:val="tx1"/>
            </w14:solidFill>
          </w14:textFill>
        </w:rPr>
        <w:t>投标情形</w:t>
      </w:r>
      <w:r>
        <w:rPr>
          <w:rFonts w:ascii="宋体" w:hAnsi="宋体"/>
          <w:color w:val="000000" w:themeColor="text1"/>
          <w:sz w:val="24"/>
          <w:szCs w:val="20"/>
          <w:highlight w:val="none"/>
          <w14:textFill>
            <w14:solidFill>
              <w14:schemeClr w14:val="tx1"/>
            </w14:solidFill>
          </w14:textFill>
        </w:rPr>
        <w:t>的），则法定代表人</w:t>
      </w:r>
      <w:r>
        <w:rPr>
          <w:rFonts w:hint="eastAsia" w:ascii="宋体" w:hAnsi="宋体"/>
          <w:color w:val="000000" w:themeColor="text1"/>
          <w:sz w:val="24"/>
          <w:szCs w:val="20"/>
          <w:highlight w:val="none"/>
          <w14:textFill>
            <w14:solidFill>
              <w14:schemeClr w14:val="tx1"/>
            </w14:solidFill>
          </w14:textFill>
        </w:rPr>
        <w:t>处</w:t>
      </w:r>
      <w:r>
        <w:rPr>
          <w:rFonts w:ascii="宋体" w:hAnsi="宋体"/>
          <w:color w:val="000000" w:themeColor="text1"/>
          <w:sz w:val="24"/>
          <w:szCs w:val="20"/>
          <w:highlight w:val="none"/>
          <w14:textFill>
            <w14:solidFill>
              <w14:schemeClr w14:val="tx1"/>
            </w14:solidFill>
          </w14:textFill>
        </w:rPr>
        <w:t>的签</w:t>
      </w:r>
      <w:r>
        <w:rPr>
          <w:rFonts w:hint="eastAsia" w:ascii="宋体" w:hAnsi="宋体"/>
          <w:color w:val="000000" w:themeColor="text1"/>
          <w:sz w:val="24"/>
          <w:szCs w:val="20"/>
          <w:highlight w:val="none"/>
          <w14:textFill>
            <w14:solidFill>
              <w14:schemeClr w14:val="tx1"/>
            </w14:solidFill>
          </w14:textFill>
        </w:rPr>
        <w:t>字</w:t>
      </w:r>
      <w:r>
        <w:rPr>
          <w:rFonts w:ascii="宋体" w:hAnsi="宋体"/>
          <w:color w:val="000000" w:themeColor="text1"/>
          <w:sz w:val="24"/>
          <w:szCs w:val="20"/>
          <w:highlight w:val="none"/>
          <w14:textFill>
            <w14:solidFill>
              <w14:schemeClr w14:val="tx1"/>
            </w14:solidFill>
          </w14:textFill>
        </w:rPr>
        <w:t>人可为单位负责人</w:t>
      </w:r>
      <w:r>
        <w:rPr>
          <w:rFonts w:hint="eastAsia" w:ascii="宋体" w:hAnsi="宋体"/>
          <w:color w:val="000000" w:themeColor="text1"/>
          <w:sz w:val="24"/>
          <w:szCs w:val="20"/>
          <w:highlight w:val="none"/>
          <w14:textFill>
            <w14:solidFill>
              <w14:schemeClr w14:val="tx1"/>
            </w14:solidFill>
          </w14:textFill>
        </w:rPr>
        <w:t>。</w:t>
      </w:r>
    </w:p>
    <w:p w14:paraId="437A71E9">
      <w:pPr>
        <w:pStyle w:val="333"/>
        <w:keepNext w:val="0"/>
        <w:keepLines w:val="0"/>
        <w:pageBreakBefore w:val="0"/>
        <w:widowControl w:val="0"/>
        <w:numPr>
          <w:ilvl w:val="0"/>
          <w:numId w:val="5"/>
        </w:numPr>
        <w:tabs>
          <w:tab w:val="left" w:pos="360"/>
          <w:tab w:val="clear" w:pos="1080"/>
        </w:tabs>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当被授权人为法定代表人（或上述情况的单位负责人）时，只需在</w:t>
      </w:r>
      <w:r>
        <w:rPr>
          <w:rFonts w:ascii="宋体" w:hAnsi="宋体"/>
          <w:color w:val="000000" w:themeColor="text1"/>
          <w:sz w:val="24"/>
          <w:szCs w:val="20"/>
          <w:highlight w:val="none"/>
          <w14:textFill>
            <w14:solidFill>
              <w14:schemeClr w14:val="tx1"/>
            </w14:solidFill>
          </w14:textFill>
        </w:rPr>
        <w:t>法定代表人</w:t>
      </w:r>
      <w:r>
        <w:rPr>
          <w:rFonts w:hint="eastAsia" w:ascii="宋体" w:hAnsi="宋体"/>
          <w:color w:val="000000" w:themeColor="text1"/>
          <w:sz w:val="24"/>
          <w:szCs w:val="20"/>
          <w:highlight w:val="none"/>
          <w14:textFill>
            <w14:solidFill>
              <w14:schemeClr w14:val="tx1"/>
            </w14:solidFill>
          </w14:textFill>
        </w:rPr>
        <w:t>处签字</w:t>
      </w:r>
      <w:r>
        <w:rPr>
          <w:rFonts w:hint="eastAsia"/>
          <w:color w:val="000000" w:themeColor="text1"/>
          <w:sz w:val="24"/>
          <w:szCs w:val="24"/>
          <w:highlight w:val="none"/>
          <w14:textFill>
            <w14:solidFill>
              <w14:schemeClr w14:val="tx1"/>
            </w14:solidFill>
          </w14:textFill>
        </w:rPr>
        <w:t>或盖章</w:t>
      </w:r>
      <w:r>
        <w:rPr>
          <w:rFonts w:hint="eastAsia" w:ascii="宋体" w:hAnsi="宋体"/>
          <w:color w:val="000000" w:themeColor="text1"/>
          <w:sz w:val="24"/>
          <w:szCs w:val="20"/>
          <w:highlight w:val="none"/>
          <w14:textFill>
            <w14:solidFill>
              <w14:schemeClr w14:val="tx1"/>
            </w14:solidFill>
          </w14:textFill>
        </w:rPr>
        <w:t>即可。</w:t>
      </w:r>
    </w:p>
    <w:p w14:paraId="4D25813A">
      <w:pPr>
        <w:pStyle w:val="333"/>
        <w:keepNext w:val="0"/>
        <w:keepLines w:val="0"/>
        <w:pageBreakBefore w:val="0"/>
        <w:widowControl w:val="0"/>
        <w:numPr>
          <w:ilvl w:val="0"/>
          <w:numId w:val="5"/>
        </w:numPr>
        <w:tabs>
          <w:tab w:val="left" w:pos="360"/>
          <w:tab w:val="clear" w:pos="1080"/>
        </w:tabs>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供应商为自然人情形的，可不提供本</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授权委托书</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w:t>
      </w:r>
    </w:p>
    <w:p w14:paraId="0913DC99">
      <w:pPr>
        <w:pStyle w:val="333"/>
        <w:keepNext w:val="0"/>
        <w:keepLines w:val="0"/>
        <w:pageBreakBefore w:val="0"/>
        <w:widowControl w:val="0"/>
        <w:numPr>
          <w:ilvl w:val="0"/>
          <w:numId w:val="5"/>
        </w:numPr>
        <w:tabs>
          <w:tab w:val="left" w:pos="360"/>
          <w:tab w:val="clear" w:pos="1080"/>
        </w:tabs>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被授权人为外籍、港、澳、台地区人士的，其身份证明须提供有效的护照或港澳同胞来往内地通行证、台湾同胞来往大陆通行证，或其他可在中国大陆有效居留的许可证明。</w:t>
      </w:r>
    </w:p>
    <w:p w14:paraId="2CD4D575">
      <w:pPr>
        <w:rPr>
          <w:rFonts w:hint="eastAsia" w:ascii="宋体" w:hAnsi="宋体" w:cs="宋体"/>
          <w:color w:val="000000" w:themeColor="text1"/>
          <w:sz w:val="24"/>
          <w:szCs w:val="28"/>
          <w:highlight w:val="none"/>
          <w14:textFill>
            <w14:solidFill>
              <w14:schemeClr w14:val="tx1"/>
            </w14:solidFill>
          </w14:textFill>
        </w:rPr>
      </w:pPr>
    </w:p>
    <w:p w14:paraId="66F421E6">
      <w:pPr>
        <w:rPr>
          <w:rFonts w:hint="eastAsia" w:ascii="宋体" w:hAnsi="宋体" w:cs="宋体"/>
          <w:color w:val="000000" w:themeColor="text1"/>
          <w:sz w:val="24"/>
          <w:szCs w:val="28"/>
          <w:highlight w:val="none"/>
          <w14:textFill>
            <w14:solidFill>
              <w14:schemeClr w14:val="tx1"/>
            </w14:solidFill>
          </w14:textFill>
        </w:rPr>
      </w:pPr>
    </w:p>
    <w:p w14:paraId="6B3755AE">
      <w:pPr>
        <w:rPr>
          <w:rFonts w:hint="eastAsia" w:ascii="宋体" w:hAnsi="宋体" w:cs="宋体"/>
          <w:color w:val="000000" w:themeColor="text1"/>
          <w:sz w:val="24"/>
          <w:szCs w:val="28"/>
          <w:highlight w:val="none"/>
          <w14:textFill>
            <w14:solidFill>
              <w14:schemeClr w14:val="tx1"/>
            </w14:solidFill>
          </w14:textFill>
        </w:rPr>
      </w:pPr>
    </w:p>
    <w:p w14:paraId="1C91364B">
      <w:pPr>
        <w:rPr>
          <w:rFonts w:hint="eastAsia" w:ascii="宋体" w:hAnsi="宋体" w:cs="宋体"/>
          <w:color w:val="000000" w:themeColor="text1"/>
          <w:sz w:val="24"/>
          <w:szCs w:val="28"/>
          <w:highlight w:val="none"/>
          <w14:textFill>
            <w14:solidFill>
              <w14:schemeClr w14:val="tx1"/>
            </w14:solidFill>
          </w14:textFill>
        </w:rPr>
      </w:pPr>
    </w:p>
    <w:p w14:paraId="6E275042">
      <w:pPr>
        <w:pStyle w:val="333"/>
        <w:tabs>
          <w:tab w:val="left" w:pos="360"/>
          <w:tab w:val="clear" w:pos="1080"/>
        </w:tabs>
        <w:ind w:firstLine="0"/>
        <w:rPr>
          <w:rFonts w:ascii="宋体" w:hAnsi="宋体" w:cs="宋体"/>
          <w:b/>
          <w:color w:val="000000" w:themeColor="text1"/>
          <w:szCs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三、资格声明函（给定格式）：</w:t>
      </w:r>
    </w:p>
    <w:p w14:paraId="4EFDBCEC">
      <w:pPr>
        <w:jc w:val="center"/>
        <w:outlineLvl w:val="0"/>
        <w:rPr>
          <w:rFonts w:ascii="黑体" w:eastAsia="黑体"/>
          <w:bCs/>
          <w:color w:val="000000" w:themeColor="text1"/>
          <w:sz w:val="28"/>
          <w:szCs w:val="28"/>
          <w:highlight w:val="none"/>
          <w14:textFill>
            <w14:solidFill>
              <w14:schemeClr w14:val="tx1"/>
            </w14:solidFill>
          </w14:textFill>
        </w:rPr>
      </w:pPr>
      <w:bookmarkStart w:id="169" w:name="报价方关于资格的声明函（格式）"/>
      <w:bookmarkEnd w:id="169"/>
      <w:r>
        <w:rPr>
          <w:rFonts w:hint="eastAsia" w:ascii="黑体" w:eastAsia="黑体"/>
          <w:bCs/>
          <w:color w:val="000000" w:themeColor="text1"/>
          <w:sz w:val="28"/>
          <w:szCs w:val="28"/>
          <w:highlight w:val="none"/>
          <w14:textFill>
            <w14:solidFill>
              <w14:schemeClr w14:val="tx1"/>
            </w14:solidFill>
          </w14:textFill>
        </w:rPr>
        <w:t>资格声明函</w:t>
      </w:r>
    </w:p>
    <w:p w14:paraId="48C6941A">
      <w:pPr>
        <w:spacing w:line="480" w:lineRule="auto"/>
        <w:jc w:val="center"/>
        <w:rPr>
          <w:rFonts w:ascii="宋体"/>
          <w:bCs/>
          <w:color w:val="000000" w:themeColor="text1"/>
          <w:sz w:val="24"/>
          <w:szCs w:val="24"/>
          <w:highlight w:val="none"/>
          <w14:textFill>
            <w14:solidFill>
              <w14:schemeClr w14:val="tx1"/>
            </w14:solidFill>
          </w14:textFill>
        </w:rPr>
      </w:pPr>
    </w:p>
    <w:p w14:paraId="7CE08F98">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江苏信中天工程咨询有限公司：</w:t>
      </w:r>
    </w:p>
    <w:p w14:paraId="2561B3FC">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我公司（单位、联合体）针对本次项目</w:t>
      </w:r>
      <w:r>
        <w:rPr>
          <w:rFonts w:hint="eastAsia" w:ascii="宋体" w:hAnsi="宋体"/>
          <w:color w:val="000000" w:themeColor="text1"/>
          <w:sz w:val="24"/>
          <w:szCs w:val="24"/>
          <w:highlight w:val="none"/>
          <w:lang w:eastAsia="zh-CN"/>
          <w14:textFill>
            <w14:solidFill>
              <w14:schemeClr w14:val="tx1"/>
            </w14:solidFill>
          </w14:textFill>
        </w:rPr>
        <w:t>JSZC-320200-SXZT-C2025-0060</w:t>
      </w:r>
      <w:r>
        <w:rPr>
          <w:rFonts w:hint="eastAsia" w:ascii="宋体" w:hAnsi="宋体"/>
          <w:bCs/>
          <w:color w:val="000000" w:themeColor="text1"/>
          <w:sz w:val="24"/>
          <w:szCs w:val="24"/>
          <w:highlight w:val="none"/>
          <w14:textFill>
            <w14:solidFill>
              <w14:schemeClr w14:val="tx1"/>
            </w14:solidFill>
          </w14:textFill>
        </w:rPr>
        <w:t>进行投标，并做如下声明</w:t>
      </w:r>
    </w:p>
    <w:p w14:paraId="4FF19CB0">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1.我公司（单位、联合体）参加本次项目政府采购活动前三年内，在经营活动中没有重大违法（因违法经营受到刑事处罚或者责令停产停业、吊销许可证或者执照、较大数额罚款等行政处罚）记录。</w:t>
      </w:r>
    </w:p>
    <w:p w14:paraId="24B6DBDF">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2.本公司（单位、联合体）具备本次项目履行合同所必需的设备和专业技术能力。</w:t>
      </w:r>
    </w:p>
    <w:p w14:paraId="09CC9775">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687921C6">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我公司（单位、联合体）针对本次项目的上述声明以及响应文件中所有关于投标资格的文件、证明、陈述均是真实的、准确的。若有违背，我公司（单位、联合体）愿意承担由此而产生的一切后果。</w:t>
      </w:r>
    </w:p>
    <w:p w14:paraId="38558986">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供应商名称（盖章）：</w:t>
      </w:r>
    </w:p>
    <w:p w14:paraId="18DE85F2">
      <w:pPr>
        <w:spacing w:line="360" w:lineRule="auto"/>
        <w:jc w:val="left"/>
        <w:rPr>
          <w:rFonts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p>
    <w:p w14:paraId="6EE51310">
      <w:pPr>
        <w:spacing w:line="48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四、中小企业声明函（给定格式）：</w:t>
      </w:r>
    </w:p>
    <w:p w14:paraId="708979C7">
      <w:pPr>
        <w:spacing w:line="360" w:lineRule="auto"/>
        <w:jc w:val="cente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t>中小企业声明函（工程）</w:t>
      </w:r>
    </w:p>
    <w:p w14:paraId="1A62BBB6">
      <w:p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本公司（联合体）郑重声明，根据《政府采购促进中小企业发展管理办法》（财库﹝2020</w:t>
      </w: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46号）的规定，本公司（联合体）参加</w:t>
      </w:r>
      <w:r>
        <w:rPr>
          <w:rFonts w:ascii="宋体" w:hAnsi="宋体" w:cs="宋体"/>
          <w:color w:val="000000" w:themeColor="text1"/>
          <w:sz w:val="24"/>
          <w:highlight w:val="none"/>
          <w:u w:val="single"/>
          <w14:textFill>
            <w14:solidFill>
              <w14:schemeClr w14:val="tx1"/>
            </w14:solidFill>
          </w14:textFill>
        </w:rPr>
        <w:t>（单位名称）</w:t>
      </w:r>
      <w:r>
        <w:rPr>
          <w:rFonts w:ascii="宋体" w:hAnsi="宋体" w:cs="宋体"/>
          <w:color w:val="000000" w:themeColor="text1"/>
          <w:sz w:val="24"/>
          <w:highlight w:val="none"/>
          <w14:textFill>
            <w14:solidFill>
              <w14:schemeClr w14:val="tx1"/>
            </w14:solidFill>
          </w14:textFill>
        </w:rPr>
        <w:t>的</w:t>
      </w:r>
      <w:r>
        <w:rPr>
          <w:rFonts w:ascii="宋体" w:hAnsi="宋体" w:cs="宋体"/>
          <w:color w:val="000000" w:themeColor="text1"/>
          <w:sz w:val="24"/>
          <w:highlight w:val="none"/>
          <w:u w:val="single"/>
          <w14:textFill>
            <w14:solidFill>
              <w14:schemeClr w14:val="tx1"/>
            </w14:solidFill>
          </w14:textFill>
        </w:rPr>
        <w:t>（项目名称）</w:t>
      </w:r>
      <w:r>
        <w:rPr>
          <w:rFonts w:ascii="宋体" w:hAnsi="宋体" w:cs="宋体"/>
          <w:color w:val="000000" w:themeColor="text1"/>
          <w:sz w:val="24"/>
          <w:highlight w:val="none"/>
          <w14:textFill>
            <w14:solidFill>
              <w14:schemeClr w14:val="tx1"/>
            </w14:solidFill>
          </w14:textFill>
        </w:rPr>
        <w:t xml:space="preserve">采购活动，工程的施工单位全部为符合政策要求的中小企业。相关企业（含联合体中的中小企业、签订分包意向协议的中小企业）的具体情况如下： </w:t>
      </w:r>
    </w:p>
    <w:p w14:paraId="2F7F2DA9">
      <w:pPr>
        <w:numPr>
          <w:ilvl w:val="0"/>
          <w:numId w:val="6"/>
        </w:num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（标的名称）</w:t>
      </w:r>
      <w:r>
        <w:rPr>
          <w:rFonts w:hint="eastAsia" w:ascii="宋体" w:hAnsi="宋体" w:cs="宋体"/>
          <w:color w:val="000000" w:themeColor="text1"/>
          <w:sz w:val="24"/>
          <w:highlight w:val="none"/>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属于</w:t>
      </w:r>
      <w:r>
        <w:rPr>
          <w:rFonts w:ascii="宋体" w:hAnsi="宋体" w:cs="宋体"/>
          <w:color w:val="000000" w:themeColor="text1"/>
          <w:sz w:val="24"/>
          <w:highlight w:val="none"/>
          <w:u w:val="single"/>
          <w14:textFill>
            <w14:solidFill>
              <w14:schemeClr w14:val="tx1"/>
            </w14:solidFill>
          </w14:textFill>
        </w:rPr>
        <w:t>（采购文件中明确的所属行业）</w:t>
      </w:r>
      <w:r>
        <w:rPr>
          <w:rFonts w:ascii="宋体" w:hAnsi="宋体" w:cs="宋体"/>
          <w:color w:val="000000" w:themeColor="text1"/>
          <w:sz w:val="24"/>
          <w:highlight w:val="none"/>
          <w14:textFill>
            <w14:solidFill>
              <w14:schemeClr w14:val="tx1"/>
            </w14:solidFill>
          </w14:textFill>
        </w:rPr>
        <w:t>； 承建（承接）企业为</w:t>
      </w:r>
      <w:r>
        <w:rPr>
          <w:rFonts w:ascii="宋体" w:hAnsi="宋体" w:cs="宋体"/>
          <w:color w:val="000000" w:themeColor="text1"/>
          <w:sz w:val="24"/>
          <w:highlight w:val="none"/>
          <w:u w:val="single"/>
          <w14:textFill>
            <w14:solidFill>
              <w14:schemeClr w14:val="tx1"/>
            </w14:solidFill>
          </w14:textFill>
        </w:rPr>
        <w:t>（企业名称）</w:t>
      </w:r>
      <w:r>
        <w:rPr>
          <w:rFonts w:ascii="宋体" w:hAnsi="宋体" w:cs="宋体"/>
          <w:color w:val="000000" w:themeColor="text1"/>
          <w:sz w:val="24"/>
          <w:highlight w:val="none"/>
          <w14:textFill>
            <w14:solidFill>
              <w14:schemeClr w14:val="tx1"/>
            </w14:solidFill>
          </w14:textFill>
        </w:rPr>
        <w:t>，从业人员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万元，属于</w:t>
      </w:r>
      <w:r>
        <w:rPr>
          <w:rFonts w:ascii="宋体" w:hAnsi="宋体" w:cs="宋体"/>
          <w:color w:val="000000" w:themeColor="text1"/>
          <w:sz w:val="24"/>
          <w:highlight w:val="none"/>
          <w:u w:val="single"/>
          <w14:textFill>
            <w14:solidFill>
              <w14:schemeClr w14:val="tx1"/>
            </w14:solidFill>
          </w14:textFill>
        </w:rPr>
        <w:t>（中型企业、 小型企业、微型企业）</w:t>
      </w:r>
      <w:r>
        <w:rPr>
          <w:rFonts w:ascii="宋体" w:hAnsi="宋体" w:cs="宋体"/>
          <w:color w:val="000000" w:themeColor="text1"/>
          <w:sz w:val="24"/>
          <w:highlight w:val="none"/>
          <w14:textFill>
            <w14:solidFill>
              <w14:schemeClr w14:val="tx1"/>
            </w14:solidFill>
          </w14:textFill>
        </w:rPr>
        <w:t xml:space="preserve">； </w:t>
      </w:r>
    </w:p>
    <w:p w14:paraId="1C13D3E2">
      <w:pPr>
        <w:numPr>
          <w:ilvl w:val="0"/>
          <w:numId w:val="6"/>
        </w:num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（标的名称）</w:t>
      </w:r>
      <w:r>
        <w:rPr>
          <w:rFonts w:ascii="宋体" w:hAnsi="宋体" w:cs="宋体"/>
          <w:color w:val="000000" w:themeColor="text1"/>
          <w:sz w:val="24"/>
          <w:highlight w:val="none"/>
          <w14:textFill>
            <w14:solidFill>
              <w14:schemeClr w14:val="tx1"/>
            </w14:solidFill>
          </w14:textFill>
        </w:rPr>
        <w:t>，属于</w:t>
      </w:r>
      <w:r>
        <w:rPr>
          <w:rFonts w:ascii="宋体" w:hAnsi="宋体" w:cs="宋体"/>
          <w:color w:val="000000" w:themeColor="text1"/>
          <w:sz w:val="24"/>
          <w:highlight w:val="none"/>
          <w:u w:val="single"/>
          <w14:textFill>
            <w14:solidFill>
              <w14:schemeClr w14:val="tx1"/>
            </w14:solidFill>
          </w14:textFill>
        </w:rPr>
        <w:t>（采购文件中明确的所属行业）</w:t>
      </w:r>
      <w:r>
        <w:rPr>
          <w:rFonts w:ascii="宋体" w:hAnsi="宋体" w:cs="宋体"/>
          <w:color w:val="000000" w:themeColor="text1"/>
          <w:sz w:val="24"/>
          <w:highlight w:val="none"/>
          <w14:textFill>
            <w14:solidFill>
              <w14:schemeClr w14:val="tx1"/>
            </w14:solidFill>
          </w14:textFill>
        </w:rPr>
        <w:t>；承建（承接）企业为</w:t>
      </w:r>
      <w:r>
        <w:rPr>
          <w:rFonts w:ascii="宋体" w:hAnsi="宋体" w:cs="宋体"/>
          <w:color w:val="000000" w:themeColor="text1"/>
          <w:sz w:val="24"/>
          <w:highlight w:val="none"/>
          <w:u w:val="single"/>
          <w14:textFill>
            <w14:solidFill>
              <w14:schemeClr w14:val="tx1"/>
            </w14:solidFill>
          </w14:textFill>
        </w:rPr>
        <w:t>（企业名称）</w:t>
      </w:r>
      <w:r>
        <w:rPr>
          <w:rFonts w:ascii="宋体" w:hAnsi="宋体" w:cs="宋体"/>
          <w:color w:val="000000" w:themeColor="text1"/>
          <w:sz w:val="24"/>
          <w:highlight w:val="none"/>
          <w14:textFill>
            <w14:solidFill>
              <w14:schemeClr w14:val="tx1"/>
            </w14:solidFill>
          </w14:textFill>
        </w:rPr>
        <w:t>，从业人员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万元，属于</w:t>
      </w:r>
      <w:r>
        <w:rPr>
          <w:rFonts w:ascii="宋体" w:hAnsi="宋体" w:cs="宋体"/>
          <w:color w:val="000000" w:themeColor="text1"/>
          <w:sz w:val="24"/>
          <w:highlight w:val="none"/>
          <w:u w:val="single"/>
          <w14:textFill>
            <w14:solidFill>
              <w14:schemeClr w14:val="tx1"/>
            </w14:solidFill>
          </w14:textFill>
        </w:rPr>
        <w:t>（中型企业、 小型企业、微型企业）</w:t>
      </w:r>
      <w:r>
        <w:rPr>
          <w:rFonts w:ascii="宋体" w:hAnsi="宋体" w:cs="宋体"/>
          <w:color w:val="000000" w:themeColor="text1"/>
          <w:sz w:val="24"/>
          <w:highlight w:val="none"/>
          <w14:textFill>
            <w14:solidFill>
              <w14:schemeClr w14:val="tx1"/>
            </w14:solidFill>
          </w14:textFill>
        </w:rPr>
        <w:t xml:space="preserve">； </w:t>
      </w:r>
    </w:p>
    <w:p w14:paraId="655712E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以上企业，不属于大企业的分支机构，不存在控股股东为大企业的情形，也</w:t>
      </w:r>
      <w:r>
        <w:rPr>
          <w:rFonts w:hint="eastAsia" w:ascii="宋体" w:hAnsi="宋体" w:cs="宋体"/>
          <w:color w:val="000000" w:themeColor="text1"/>
          <w:sz w:val="24"/>
          <w:highlight w:val="none"/>
          <w14:textFill>
            <w14:solidFill>
              <w14:schemeClr w14:val="tx1"/>
            </w14:solidFill>
          </w14:textFill>
        </w:rPr>
        <w:t>不</w:t>
      </w:r>
      <w:r>
        <w:rPr>
          <w:rFonts w:ascii="宋体" w:hAnsi="宋体" w:cs="宋体"/>
          <w:color w:val="000000" w:themeColor="text1"/>
          <w:sz w:val="24"/>
          <w:highlight w:val="none"/>
          <w14:textFill>
            <w14:solidFill>
              <w14:schemeClr w14:val="tx1"/>
            </w14:solidFill>
          </w14:textFill>
        </w:rPr>
        <w:t xml:space="preserve">存在与大企业的负责人为同一人的情形。 </w:t>
      </w:r>
    </w:p>
    <w:p w14:paraId="55A9823A">
      <w:pPr>
        <w:spacing w:line="360" w:lineRule="auto"/>
        <w:ind w:left="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 法承担相应责任。 </w:t>
      </w:r>
    </w:p>
    <w:p w14:paraId="7B44B3EC">
      <w:pPr>
        <w:spacing w:line="360" w:lineRule="auto"/>
        <w:ind w:left="480"/>
        <w:jc w:val="righ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企业名称（盖章）： </w:t>
      </w:r>
    </w:p>
    <w:p w14:paraId="2E5DAD7D">
      <w:pPr>
        <w:spacing w:line="360" w:lineRule="auto"/>
        <w:ind w:left="480"/>
        <w:jc w:val="righ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日 期：</w:t>
      </w:r>
    </w:p>
    <w:p w14:paraId="1715816A">
      <w:pPr>
        <w:spacing w:line="360" w:lineRule="auto"/>
        <w:ind w:left="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p w14:paraId="57276499">
      <w:pPr>
        <w:numPr>
          <w:ilvl w:val="0"/>
          <w:numId w:val="7"/>
        </w:numPr>
        <w:spacing w:line="360" w:lineRule="auto"/>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从业人员、营业收入、资产总额填报上一年度数据，无上一年度数据的新成立企业可不填报。</w:t>
      </w:r>
    </w:p>
    <w:p w14:paraId="600D7791">
      <w:pPr>
        <w:numPr>
          <w:ilvl w:val="0"/>
          <w:numId w:val="7"/>
        </w:numPr>
        <w:spacing w:line="360" w:lineRule="auto"/>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在货物采购项目中，供应商提供的货物既有中小企业制造货物，也有大型企业制造货物的，不享受本办法规定的中小企业扶持政策。</w:t>
      </w:r>
    </w:p>
    <w:p w14:paraId="330959A9">
      <w:pPr>
        <w:spacing w:line="360" w:lineRule="auto"/>
        <w:ind w:firstLine="42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6F1C511">
      <w:pPr>
        <w:spacing w:line="360" w:lineRule="auto"/>
        <w:rPr>
          <w:rFonts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五</w:t>
      </w:r>
      <w:r>
        <w:rPr>
          <w:rFonts w:hint="eastAsia" w:ascii="宋体" w:hAnsi="宋体" w:cs="宋体"/>
          <w:b/>
          <w:color w:val="000000" w:themeColor="text1"/>
          <w:sz w:val="28"/>
          <w:szCs w:val="28"/>
          <w:highlight w:val="none"/>
          <w14:textFill>
            <w14:solidFill>
              <w14:schemeClr w14:val="tx1"/>
            </w14:solidFill>
          </w14:textFill>
        </w:rPr>
        <w:t>、残疾人福利性单位声明函（给定格式）：</w:t>
      </w:r>
    </w:p>
    <w:p w14:paraId="594E803A">
      <w:pPr>
        <w:spacing w:line="440" w:lineRule="exact"/>
        <w:ind w:firstLine="482"/>
        <w:rPr>
          <w:rFonts w:ascii="Arial" w:hAnsi="Arial"/>
          <w:b/>
          <w:color w:val="000000" w:themeColor="text1"/>
          <w:sz w:val="24"/>
          <w:highlight w:val="none"/>
          <w14:textFill>
            <w14:solidFill>
              <w14:schemeClr w14:val="tx1"/>
            </w14:solidFill>
          </w14:textFill>
        </w:rPr>
      </w:pPr>
    </w:p>
    <w:p w14:paraId="11026890">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残疾人福利性单位声明函</w:t>
      </w:r>
    </w:p>
    <w:p w14:paraId="2AD53263">
      <w:pPr>
        <w:jc w:val="center"/>
        <w:rPr>
          <w:rFonts w:ascii="黑体" w:eastAsia="黑体"/>
          <w:bCs/>
          <w:color w:val="000000" w:themeColor="text1"/>
          <w:sz w:val="28"/>
          <w:szCs w:val="28"/>
          <w:highlight w:val="none"/>
          <w14:textFill>
            <w14:solidFill>
              <w14:schemeClr w14:val="tx1"/>
            </w14:solidFill>
          </w14:textFill>
        </w:rPr>
      </w:pPr>
    </w:p>
    <w:p w14:paraId="6EDD0204">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FD94B7">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14:paraId="4724264C">
      <w:pPr>
        <w:spacing w:line="580" w:lineRule="exact"/>
        <w:ind w:firstLine="480"/>
        <w:rPr>
          <w:rFonts w:ascii="宋体" w:hAnsi="宋体"/>
          <w:bCs/>
          <w:color w:val="000000" w:themeColor="text1"/>
          <w:sz w:val="24"/>
          <w:szCs w:val="24"/>
          <w:highlight w:val="none"/>
          <w14:textFill>
            <w14:solidFill>
              <w14:schemeClr w14:val="tx1"/>
            </w14:solidFill>
          </w14:textFill>
        </w:rPr>
      </w:pPr>
    </w:p>
    <w:p w14:paraId="157E0FA9">
      <w:pPr>
        <w:spacing w:line="580" w:lineRule="exact"/>
        <w:ind w:firstLine="480"/>
        <w:rPr>
          <w:rFonts w:ascii="宋体" w:hAnsi="宋体"/>
          <w:bCs/>
          <w:color w:val="000000" w:themeColor="text1"/>
          <w:sz w:val="24"/>
          <w:szCs w:val="24"/>
          <w:highlight w:val="none"/>
          <w14:textFill>
            <w14:solidFill>
              <w14:schemeClr w14:val="tx1"/>
            </w14:solidFill>
          </w14:textFill>
        </w:rPr>
      </w:pPr>
    </w:p>
    <w:p w14:paraId="68ED3D89">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14:paraId="717BEBD8">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524042EC">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六</w:t>
      </w:r>
      <w:r>
        <w:rPr>
          <w:b/>
          <w:color w:val="000000" w:themeColor="text1"/>
          <w:sz w:val="28"/>
          <w:szCs w:val="28"/>
          <w:highlight w:val="none"/>
          <w14:textFill>
            <w14:solidFill>
              <w14:schemeClr w14:val="tx1"/>
            </w14:solidFill>
          </w14:textFill>
        </w:rPr>
        <w:t>、投标函</w:t>
      </w:r>
      <w:r>
        <w:rPr>
          <w:rFonts w:hint="eastAsia"/>
          <w:b/>
          <w:color w:val="000000" w:themeColor="text1"/>
          <w:sz w:val="28"/>
          <w:szCs w:val="28"/>
          <w:highlight w:val="none"/>
          <w14:textFill>
            <w14:solidFill>
              <w14:schemeClr w14:val="tx1"/>
            </w14:solidFill>
          </w14:textFill>
        </w:rPr>
        <w:t>（给定格式）：</w:t>
      </w:r>
    </w:p>
    <w:p w14:paraId="43922D1B">
      <w:pPr>
        <w:spacing w:line="360" w:lineRule="auto"/>
        <w:rPr>
          <w:b/>
          <w:color w:val="000000" w:themeColor="text1"/>
          <w:sz w:val="30"/>
          <w:szCs w:val="30"/>
          <w:highlight w:val="none"/>
          <w14:textFill>
            <w14:solidFill>
              <w14:schemeClr w14:val="tx1"/>
            </w14:solidFill>
          </w14:textFill>
        </w:rPr>
      </w:pPr>
    </w:p>
    <w:p w14:paraId="2B9FF08F">
      <w:pPr>
        <w:spacing w:line="400" w:lineRule="exact"/>
        <w:jc w:val="center"/>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投标函</w:t>
      </w:r>
    </w:p>
    <w:p w14:paraId="08A580FB">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致江苏信中天工程咨询有限公司：</w:t>
      </w:r>
    </w:p>
    <w:p w14:paraId="6BD6FD36">
      <w:pPr>
        <w:spacing w:line="400" w:lineRule="exact"/>
        <w:ind w:firstLine="480"/>
        <w:rPr>
          <w:rFonts w:ascii="宋体"/>
          <w:bCs/>
          <w:color w:val="000000" w:themeColor="text1"/>
          <w:sz w:val="24"/>
          <w:szCs w:val="24"/>
          <w:highlight w:val="none"/>
          <w14:textFill>
            <w14:solidFill>
              <w14:schemeClr w14:val="tx1"/>
            </w14:solidFill>
          </w14:textFill>
        </w:rPr>
      </w:pPr>
    </w:p>
    <w:p w14:paraId="4C3DD5C3">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w:t>
      </w:r>
      <w:r>
        <w:rPr>
          <w:rFonts w:hint="eastAsia" w:ascii="宋体" w:hAnsi="宋体"/>
          <w:color w:val="000000" w:themeColor="text1"/>
          <w:sz w:val="24"/>
          <w:szCs w:val="24"/>
          <w:highlight w:val="none"/>
          <w:lang w:eastAsia="zh-CN"/>
          <w14:textFill>
            <w14:solidFill>
              <w14:schemeClr w14:val="tx1"/>
            </w14:solidFill>
          </w14:textFill>
        </w:rPr>
        <w:t>JSZC-320200-SXZT-C2025-0060</w:t>
      </w:r>
      <w:r>
        <w:rPr>
          <w:rFonts w:hint="eastAsia" w:ascii="宋体" w:hAnsi="宋体"/>
          <w:bCs/>
          <w:color w:val="000000" w:themeColor="text1"/>
          <w:sz w:val="24"/>
          <w:szCs w:val="24"/>
          <w:highlight w:val="none"/>
          <w14:textFill>
            <w14:solidFill>
              <w14:schemeClr w14:val="tx1"/>
            </w14:solidFill>
          </w14:textFill>
        </w:rPr>
        <w:t>磋商文件，经仔细阅读和研究，我方决定参加此项目的投标。</w:t>
      </w:r>
    </w:p>
    <w:p w14:paraId="1BDF6ADA">
      <w:pPr>
        <w:numPr>
          <w:ilvl w:val="0"/>
          <w:numId w:val="8"/>
        </w:numPr>
        <w:tabs>
          <w:tab w:val="left" w:pos="315"/>
          <w:tab w:val="left" w:pos="840"/>
          <w:tab w:val="left" w:pos="945"/>
          <w:tab w:val="left" w:pos="1050"/>
          <w:tab w:val="left" w:pos="1260"/>
          <w:tab w:val="clear" w:pos="552"/>
        </w:tabs>
        <w:spacing w:line="400" w:lineRule="exact"/>
        <w:ind w:left="0" w:firstLine="52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我方愿意按照磋商文件的一切要求，提供本项目的投标，投标总价见《开标一览表》。</w:t>
      </w:r>
    </w:p>
    <w:p w14:paraId="7E91B8B0">
      <w:pPr>
        <w:numPr>
          <w:ilvl w:val="0"/>
          <w:numId w:val="8"/>
        </w:numPr>
        <w:tabs>
          <w:tab w:val="left" w:pos="0"/>
          <w:tab w:val="left" w:pos="315"/>
          <w:tab w:val="left" w:pos="525"/>
          <w:tab w:val="left" w:pos="840"/>
          <w:tab w:val="left" w:pos="945"/>
          <w:tab w:val="left" w:pos="1050"/>
          <w:tab w:val="clear" w:pos="552"/>
        </w:tabs>
        <w:spacing w:line="400" w:lineRule="exact"/>
        <w:ind w:left="0" w:firstLine="523"/>
        <w:rPr>
          <w:rStyle w:val="67"/>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我方愿意提供江苏信中天工程咨询有限公司在磋商文件中要求的文件、资料。</w:t>
      </w:r>
    </w:p>
    <w:p w14:paraId="0B7952A2">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我方同意按磋商文件中的规定，从规定的开标日期起遵循本响应文件，并在规定的投标有效期期满之前均具有约束力。</w:t>
      </w:r>
    </w:p>
    <w:p w14:paraId="4DBD3CD7">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如果我方的响应文件被接受，我方将履行磋商文件中规定的每一项要求，按期、按质、按量，完成交货任务。</w:t>
      </w:r>
    </w:p>
    <w:p w14:paraId="08B61625">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我方完全同意磋商文件规定的决定中标者的方式。</w:t>
      </w:r>
    </w:p>
    <w:p w14:paraId="376650D2">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w:t>
      </w:r>
    </w:p>
    <w:p w14:paraId="2B23B6E5">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我方已详细审核全部磋商文件及其有效补充文件，我们知道必须放弃提出含糊不清或误解问题的权利。</w:t>
      </w:r>
    </w:p>
    <w:p w14:paraId="0C768781">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7349A575">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成交供应商，我方愿意按采购人要求缴纳履约保证金。且我方如无不可抗力，又未履行磋商文件、响应文件和合同条款的，一经查实，我方愿意赔偿由此而造成的一切损失，并同意接受按磋商文件的相关要求对我方进行的处理。</w:t>
      </w:r>
    </w:p>
    <w:p w14:paraId="19BE04CB">
      <w:pPr>
        <w:numPr>
          <w:ilvl w:val="0"/>
          <w:numId w:val="8"/>
        </w:numPr>
        <w:tabs>
          <w:tab w:val="left" w:pos="0"/>
          <w:tab w:val="left" w:pos="315"/>
          <w:tab w:val="left" w:pos="525"/>
          <w:tab w:val="left" w:pos="945"/>
          <w:tab w:val="left" w:pos="1050"/>
          <w:tab w:val="clear" w:pos="552"/>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1D588B8">
      <w:pPr>
        <w:spacing w:line="400" w:lineRule="exact"/>
        <w:ind w:firstLine="720"/>
        <w:rPr>
          <w:rFonts w:ascii="宋体"/>
          <w:bCs/>
          <w:color w:val="000000" w:themeColor="text1"/>
          <w:sz w:val="24"/>
          <w:szCs w:val="24"/>
          <w:highlight w:val="none"/>
          <w14:textFill>
            <w14:solidFill>
              <w14:schemeClr w14:val="tx1"/>
            </w14:solidFill>
          </w14:textFill>
        </w:rPr>
      </w:pPr>
    </w:p>
    <w:p w14:paraId="708A20D3">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 ；传真：；邮编：</w:t>
      </w:r>
    </w:p>
    <w:p w14:paraId="237C10B3">
      <w:pPr>
        <w:spacing w:line="400" w:lineRule="exact"/>
        <w:ind w:firstLine="480"/>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w:t>
      </w:r>
    </w:p>
    <w:p w14:paraId="7AA5A1D3">
      <w:pPr>
        <w:spacing w:line="4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供应商名称（盖章）：</w:t>
      </w:r>
    </w:p>
    <w:p w14:paraId="420D2A1A">
      <w:pPr>
        <w:spacing w:line="360" w:lineRule="auto"/>
        <w:rPr>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七、承诺书（给定格式）：</w:t>
      </w:r>
    </w:p>
    <w:p w14:paraId="42A5E38D">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14:paraId="014CFA57">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名称）针对本项目</w:t>
      </w:r>
      <w:r>
        <w:rPr>
          <w:rFonts w:hint="eastAsia" w:ascii="宋体" w:hAnsi="宋体"/>
          <w:color w:val="000000" w:themeColor="text1"/>
          <w:sz w:val="24"/>
          <w:szCs w:val="24"/>
          <w:highlight w:val="none"/>
          <w:lang w:eastAsia="zh-CN"/>
          <w14:textFill>
            <w14:solidFill>
              <w14:schemeClr w14:val="tx1"/>
            </w14:solidFill>
          </w14:textFill>
        </w:rPr>
        <w:t>JSZC-320200-SXZT-C2025-0060</w:t>
      </w:r>
      <w:r>
        <w:rPr>
          <w:rFonts w:hint="eastAsia" w:ascii="宋体" w:hAnsi="宋体"/>
          <w:color w:val="000000" w:themeColor="text1"/>
          <w:sz w:val="24"/>
          <w:szCs w:val="24"/>
          <w:highlight w:val="none"/>
          <w14:textFill>
            <w14:solidFill>
              <w14:schemeClr w14:val="tx1"/>
            </w14:solidFill>
          </w14:textFill>
        </w:rPr>
        <w:t>在此承诺：</w:t>
      </w:r>
    </w:p>
    <w:p w14:paraId="0E2B49C4">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对本项目所提供的货物均为原厂全新合格品，提供的服务符合磋商文件要求。</w:t>
      </w:r>
    </w:p>
    <w:p w14:paraId="6A9C2A3F">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2.本项目中如有涉及到商品包装、快递包装要求的，本公司（单位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）对于成交产品的包装将严格按《关于印发〈商品包装政府采购需求标准（试行）〉、〈快递包装政府采购需求标准（试行）〉的通知》（财办库〔2020〕123号）文件执行。</w:t>
      </w:r>
    </w:p>
    <w:p w14:paraId="69385A19">
      <w:pPr>
        <w:spacing w:line="48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3.本项目中如有涉及数据中心相关设备、运维服务的，本公司（单位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将按《关于印发〈绿色数据中心政府采购需求标准（试行）〉的通知》（财办库〔2023〕7号）文件执行；所提供的数据中心相关设备、运维服务均符合《绿色数据中心政府采购需求标准（试行）》的指标及标准。</w:t>
      </w:r>
    </w:p>
    <w:p w14:paraId="0374265E">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6B690646">
      <w:pPr>
        <w:spacing w:line="48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）将所报产品符合相关要求和标准。在满足</w:t>
      </w:r>
      <w:r>
        <w:rPr>
          <w:rFonts w:hint="eastAsia" w:ascii="宋体" w:hAnsi="宋体" w:cs="宋体"/>
          <w:color w:val="000000" w:themeColor="text1"/>
          <w:sz w:val="24"/>
          <w:szCs w:val="24"/>
          <w:highlight w:val="none"/>
          <w14:textFill>
            <w14:solidFill>
              <w14:schemeClr w14:val="tx1"/>
            </w14:solidFill>
          </w14:textFill>
        </w:rPr>
        <w:t>《需求标准》的前提下，如磋商文件中对七种软硬件有其他要求的，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）所投产品将</w:t>
      </w:r>
      <w:r>
        <w:rPr>
          <w:rFonts w:hint="eastAsia" w:ascii="宋体" w:hAnsi="宋体" w:cs="宋体"/>
          <w:color w:val="000000" w:themeColor="text1"/>
          <w:sz w:val="24"/>
          <w:szCs w:val="24"/>
          <w:highlight w:val="none"/>
          <w14:textFill>
            <w14:solidFill>
              <w14:schemeClr w14:val="tx1"/>
            </w14:solidFill>
          </w14:textFill>
        </w:rPr>
        <w:t>满足磋商文件要求。如采购人在</w:t>
      </w:r>
      <w:r>
        <w:rPr>
          <w:rFonts w:hint="eastAsia" w:ascii="宋体"/>
          <w:bCs/>
          <w:color w:val="000000" w:themeColor="text1"/>
          <w:sz w:val="24"/>
          <w:szCs w:val="24"/>
          <w:highlight w:val="none"/>
          <w14:textFill>
            <w14:solidFill>
              <w14:schemeClr w14:val="tx1"/>
            </w14:solidFill>
          </w14:textFill>
        </w:rPr>
        <w:t>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）将予以配合。</w:t>
      </w:r>
    </w:p>
    <w:p w14:paraId="281943AB">
      <w:pPr>
        <w:spacing w:line="480" w:lineRule="auto"/>
        <w:ind w:firstLine="480"/>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（供应商如有其他承诺的可在此处添加）</w:t>
      </w:r>
    </w:p>
    <w:p w14:paraId="6D8E2D22">
      <w:pPr>
        <w:spacing w:line="480" w:lineRule="auto"/>
        <w:ind w:firstLine="480"/>
        <w:rPr>
          <w:rFonts w:ascii="宋体"/>
          <w:bCs/>
          <w:color w:val="000000" w:themeColor="text1"/>
          <w:sz w:val="24"/>
          <w:szCs w:val="24"/>
          <w:highlight w:val="none"/>
          <w14:textFill>
            <w14:solidFill>
              <w14:schemeClr w14:val="tx1"/>
            </w14:solidFill>
          </w14:textFill>
        </w:rPr>
      </w:pPr>
    </w:p>
    <w:p w14:paraId="2788FFB7">
      <w:pPr>
        <w:spacing w:line="480" w:lineRule="auto"/>
        <w:ind w:firstLine="480"/>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将承担一切法律责任。</w:t>
      </w:r>
    </w:p>
    <w:p w14:paraId="12DB3670">
      <w:pPr>
        <w:spacing w:line="480" w:lineRule="auto"/>
        <w:ind w:firstLine="5400"/>
        <w:rPr>
          <w:rFonts w:ascii="宋体" w:hAnsi="宋体"/>
          <w:bCs/>
          <w:color w:val="000000" w:themeColor="text1"/>
          <w:sz w:val="24"/>
          <w:szCs w:val="24"/>
          <w:highlight w:val="none"/>
          <w14:textFill>
            <w14:solidFill>
              <w14:schemeClr w14:val="tx1"/>
            </w14:solidFill>
          </w14:textFill>
        </w:rPr>
      </w:pPr>
    </w:p>
    <w:p w14:paraId="38303259">
      <w:pPr>
        <w:spacing w:line="480" w:lineRule="auto"/>
        <w:ind w:firstLine="37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供应商名称（盖章）：</w:t>
      </w:r>
    </w:p>
    <w:p w14:paraId="6F536CA6">
      <w:pPr>
        <w:outlineLvl w:val="0"/>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八、开标一览表：</w:t>
      </w:r>
    </w:p>
    <w:p w14:paraId="6C0ED2CF">
      <w:pPr>
        <w:spacing w:line="440" w:lineRule="exact"/>
        <w:ind w:firstLine="482"/>
        <w:rPr>
          <w:rFonts w:ascii="Arial" w:hAnsi="Arial"/>
          <w:b/>
          <w:color w:val="000000" w:themeColor="text1"/>
          <w:sz w:val="24"/>
          <w:highlight w:val="none"/>
          <w14:textFill>
            <w14:solidFill>
              <w14:schemeClr w14:val="tx1"/>
            </w14:solidFill>
          </w14:textFill>
        </w:rPr>
      </w:pPr>
    </w:p>
    <w:p w14:paraId="02719A64">
      <w:pPr>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开标一览表</w:t>
      </w:r>
    </w:p>
    <w:p w14:paraId="685C1244">
      <w:pPr>
        <w:jc w:val="center"/>
        <w:outlineLvl w:val="0"/>
        <w:rPr>
          <w:rFonts w:ascii="黑体" w:eastAsia="黑体"/>
          <w:bCs/>
          <w:color w:val="000000" w:themeColor="text1"/>
          <w:sz w:val="28"/>
          <w:szCs w:val="28"/>
          <w:highlight w:val="none"/>
          <w14:textFill>
            <w14:solidFill>
              <w14:schemeClr w14:val="tx1"/>
            </w14:solidFill>
          </w14:textFill>
        </w:rPr>
      </w:pPr>
    </w:p>
    <w:p w14:paraId="4B38A030">
      <w:pPr>
        <w:spacing w:line="360" w:lineRule="auto"/>
        <w:rPr>
          <w:rFonts w:ascii="黑体" w:eastAsia="黑体"/>
          <w:bCs/>
          <w:color w:val="000000" w:themeColor="text1"/>
          <w:sz w:val="24"/>
          <w:szCs w:val="24"/>
          <w:highlight w:val="none"/>
          <w14:textFill>
            <w14:solidFill>
              <w14:schemeClr w14:val="tx1"/>
            </w14:solidFill>
          </w14:textFill>
        </w:rPr>
      </w:pPr>
    </w:p>
    <w:p w14:paraId="14181220">
      <w:pPr>
        <w:spacing w:line="360" w:lineRule="auto"/>
        <w:rPr>
          <w:rFonts w:ascii="黑体" w:eastAsia="黑体"/>
          <w:bCs/>
          <w:color w:val="000000" w:themeColor="text1"/>
          <w:sz w:val="24"/>
          <w:szCs w:val="24"/>
          <w:highlight w:val="none"/>
          <w14:textFill>
            <w14:solidFill>
              <w14:schemeClr w14:val="tx1"/>
            </w14:solidFill>
          </w14:textFill>
        </w:rPr>
      </w:pPr>
    </w:p>
    <w:p w14:paraId="54620E96">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6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16"/>
        <w:gridCol w:w="4348"/>
      </w:tblGrid>
      <w:tr w14:paraId="5BA82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2653" w:type="pct"/>
            <w:noWrap/>
            <w:vAlign w:val="center"/>
          </w:tcPr>
          <w:p w14:paraId="52E1FF7E">
            <w:pPr>
              <w:jc w:val="center"/>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项目名称</w:t>
            </w:r>
          </w:p>
        </w:tc>
        <w:tc>
          <w:tcPr>
            <w:tcW w:w="2346" w:type="pct"/>
            <w:noWrap w:val="0"/>
            <w:vAlign w:val="top"/>
          </w:tcPr>
          <w:p w14:paraId="36290CA9">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投标优惠率（%）</w:t>
            </w:r>
          </w:p>
          <w:p w14:paraId="670571D6">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（精确到小数点后两位）</w:t>
            </w:r>
          </w:p>
        </w:tc>
      </w:tr>
      <w:tr w14:paraId="6533E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653" w:type="pct"/>
            <w:noWrap/>
            <w:vAlign w:val="center"/>
          </w:tcPr>
          <w:p w14:paraId="31C15EAD">
            <w:pPr>
              <w:pStyle w:val="490"/>
              <w:spacing w:line="400" w:lineRule="exact"/>
              <w:jc w:val="center"/>
              <w:rPr>
                <w:rFonts w:hAnsi="宋体"/>
                <w:bCs/>
                <w:color w:val="000000" w:themeColor="text1"/>
                <w:szCs w:val="24"/>
                <w:highlight w:val="none"/>
                <w14:textFill>
                  <w14:solidFill>
                    <w14:schemeClr w14:val="tx1"/>
                  </w14:solidFill>
                </w14:textFill>
              </w:rPr>
            </w:pPr>
            <w:r>
              <w:rPr>
                <w:rFonts w:hint="eastAsia" w:hAnsi="宋体"/>
                <w:color w:val="000000" w:themeColor="text1"/>
                <w:sz w:val="24"/>
                <w:szCs w:val="24"/>
                <w:highlight w:val="none"/>
                <w:lang w:eastAsia="zh-CN"/>
                <w14:textFill>
                  <w14:solidFill>
                    <w14:schemeClr w14:val="tx1"/>
                  </w14:solidFill>
                </w14:textFill>
              </w:rPr>
              <w:t>无锡市第二人民医院南北院零星修缮采购</w:t>
            </w:r>
          </w:p>
        </w:tc>
        <w:tc>
          <w:tcPr>
            <w:tcW w:w="2346" w:type="pct"/>
            <w:noWrap w:val="0"/>
            <w:vAlign w:val="top"/>
          </w:tcPr>
          <w:p w14:paraId="147A65B2">
            <w:pPr>
              <w:pStyle w:val="490"/>
              <w:jc w:val="center"/>
              <w:rPr>
                <w:rFonts w:hAnsi="宋体"/>
                <w:color w:val="000000" w:themeColor="text1"/>
                <w:szCs w:val="24"/>
                <w:highlight w:val="none"/>
                <w14:textFill>
                  <w14:solidFill>
                    <w14:schemeClr w14:val="tx1"/>
                  </w14:solidFill>
                </w14:textFill>
              </w:rPr>
            </w:pPr>
          </w:p>
        </w:tc>
      </w:tr>
    </w:tbl>
    <w:p w14:paraId="042FF9A9">
      <w:pPr>
        <w:spacing w:line="400" w:lineRule="exact"/>
        <w:ind w:firstLine="120" w:firstLineChars="50"/>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供应商名称（盖章）：</w:t>
      </w:r>
    </w:p>
    <w:p w14:paraId="5AACDBBD">
      <w:pPr>
        <w:spacing w:line="400" w:lineRule="exact"/>
        <w:rPr>
          <w:rFonts w:ascii="黑体" w:eastAsia="黑体"/>
          <w:bCs/>
          <w:color w:val="000000" w:themeColor="text1"/>
          <w:sz w:val="24"/>
          <w:szCs w:val="24"/>
          <w:highlight w:val="none"/>
          <w14:textFill>
            <w14:solidFill>
              <w14:schemeClr w14:val="tx1"/>
            </w14:solidFill>
          </w14:textFill>
        </w:rPr>
      </w:pPr>
    </w:p>
    <w:p w14:paraId="2BECD0E7">
      <w:pPr>
        <w:spacing w:line="400" w:lineRule="exact"/>
        <w:rPr>
          <w:rFonts w:ascii="黑体" w:eastAsia="黑体"/>
          <w:bCs/>
          <w:color w:val="000000" w:themeColor="text1"/>
          <w:sz w:val="24"/>
          <w:szCs w:val="24"/>
          <w:highlight w:val="none"/>
          <w14:textFill>
            <w14:solidFill>
              <w14:schemeClr w14:val="tx1"/>
            </w14:solidFill>
          </w14:textFill>
        </w:rPr>
      </w:pPr>
    </w:p>
    <w:p w14:paraId="6B44BD64">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注：</w:t>
      </w:r>
    </w:p>
    <w:p w14:paraId="6DDE4A11">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p>
    <w:p w14:paraId="5E9F3613">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（2）投标优惠率=1-投标折扣率</w:t>
      </w:r>
    </w:p>
    <w:p w14:paraId="6DE7523F">
      <w:pPr>
        <w:spacing w:line="360" w:lineRule="auto"/>
        <w:rPr>
          <w:b/>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九、分项</w:t>
      </w:r>
      <w:r>
        <w:rPr>
          <w:b/>
          <w:color w:val="000000" w:themeColor="text1"/>
          <w:sz w:val="28"/>
          <w:szCs w:val="28"/>
          <w:highlight w:val="none"/>
          <w14:textFill>
            <w14:solidFill>
              <w14:schemeClr w14:val="tx1"/>
            </w14:solidFill>
          </w14:textFill>
        </w:rPr>
        <w:t>报价表</w:t>
      </w:r>
      <w:r>
        <w:rPr>
          <w:rFonts w:hint="eastAsia"/>
          <w:b/>
          <w:color w:val="000000" w:themeColor="text1"/>
          <w:sz w:val="28"/>
          <w:szCs w:val="28"/>
          <w:highlight w:val="none"/>
          <w14:textFill>
            <w14:solidFill>
              <w14:schemeClr w14:val="tx1"/>
            </w14:solidFill>
          </w14:textFill>
        </w:rPr>
        <w:t>（给定格式）：</w:t>
      </w:r>
    </w:p>
    <w:p w14:paraId="67A66293">
      <w:pPr>
        <w:spacing w:line="360" w:lineRule="auto"/>
        <w:rPr>
          <w:b/>
          <w:color w:val="000000" w:themeColor="text1"/>
          <w:sz w:val="30"/>
          <w:szCs w:val="30"/>
          <w:highlight w:val="none"/>
          <w14:textFill>
            <w14:solidFill>
              <w14:schemeClr w14:val="tx1"/>
            </w14:solidFill>
          </w14:textFill>
        </w:rPr>
      </w:pPr>
    </w:p>
    <w:p w14:paraId="017EAB2B">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分项报价表</w:t>
      </w:r>
    </w:p>
    <w:p w14:paraId="0CC19A43">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62"/>
        <w:tblW w:w="94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2"/>
        <w:gridCol w:w="1981"/>
        <w:gridCol w:w="2412"/>
        <w:gridCol w:w="1254"/>
        <w:gridCol w:w="850"/>
        <w:gridCol w:w="1097"/>
        <w:gridCol w:w="1097"/>
      </w:tblGrid>
      <w:tr w14:paraId="7374B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762" w:type="dxa"/>
            <w:noWrap/>
            <w:tcMar>
              <w:top w:w="15" w:type="dxa"/>
              <w:left w:w="15" w:type="dxa"/>
              <w:bottom w:w="0" w:type="dxa"/>
              <w:right w:w="15" w:type="dxa"/>
            </w:tcMar>
            <w:vAlign w:val="center"/>
          </w:tcPr>
          <w:p w14:paraId="73378FA5">
            <w:pPr>
              <w:spacing w:before="5"/>
              <w:jc w:val="center"/>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序号</w:t>
            </w:r>
          </w:p>
        </w:tc>
        <w:tc>
          <w:tcPr>
            <w:tcW w:w="1981" w:type="dxa"/>
            <w:noWrap/>
            <w:tcMar>
              <w:top w:w="15" w:type="dxa"/>
              <w:left w:w="15" w:type="dxa"/>
              <w:bottom w:w="0" w:type="dxa"/>
              <w:right w:w="15" w:type="dxa"/>
            </w:tcMar>
            <w:vAlign w:val="center"/>
          </w:tcPr>
          <w:p w14:paraId="3AC132E8">
            <w:pPr>
              <w:spacing w:before="5"/>
              <w:jc w:val="center"/>
              <w:rPr>
                <w:rFonts w:hint="eastAsia"/>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工程名称</w:t>
            </w:r>
          </w:p>
        </w:tc>
        <w:tc>
          <w:tcPr>
            <w:tcW w:w="2412" w:type="dxa"/>
            <w:noWrap/>
            <w:vAlign w:val="center"/>
          </w:tcPr>
          <w:p w14:paraId="3398E33E">
            <w:pPr>
              <w:spacing w:before="5"/>
              <w:jc w:val="center"/>
              <w:rPr>
                <w:rFonts w:hint="eastAsia"/>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内容</w:t>
            </w:r>
          </w:p>
        </w:tc>
        <w:tc>
          <w:tcPr>
            <w:tcW w:w="1254" w:type="dxa"/>
            <w:noWrap/>
            <w:vAlign w:val="center"/>
          </w:tcPr>
          <w:p w14:paraId="35CE7A4D">
            <w:pPr>
              <w:spacing w:before="5"/>
              <w:jc w:val="center"/>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数量</w:t>
            </w:r>
          </w:p>
        </w:tc>
        <w:tc>
          <w:tcPr>
            <w:tcW w:w="850" w:type="dxa"/>
            <w:noWrap/>
            <w:tcMar>
              <w:top w:w="15" w:type="dxa"/>
              <w:left w:w="15" w:type="dxa"/>
              <w:bottom w:w="0" w:type="dxa"/>
              <w:right w:w="15" w:type="dxa"/>
            </w:tcMar>
            <w:vAlign w:val="center"/>
          </w:tcPr>
          <w:p w14:paraId="7C5D6FF0">
            <w:pPr>
              <w:spacing w:before="5"/>
              <w:jc w:val="center"/>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单位</w:t>
            </w:r>
          </w:p>
        </w:tc>
        <w:tc>
          <w:tcPr>
            <w:tcW w:w="1097" w:type="dxa"/>
            <w:noWrap w:val="0"/>
            <w:vAlign w:val="center"/>
          </w:tcPr>
          <w:p w14:paraId="7E1C919E">
            <w:pPr>
              <w:spacing w:before="5"/>
              <w:jc w:val="center"/>
              <w:rPr>
                <w:rFonts w:hint="eastAsia"/>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单报价</w:t>
            </w:r>
          </w:p>
        </w:tc>
        <w:tc>
          <w:tcPr>
            <w:tcW w:w="1097" w:type="dxa"/>
            <w:noWrap/>
            <w:vAlign w:val="center"/>
          </w:tcPr>
          <w:p w14:paraId="4E6B3195">
            <w:pPr>
              <w:spacing w:before="5"/>
              <w:jc w:val="center"/>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分项总报价</w:t>
            </w:r>
          </w:p>
        </w:tc>
      </w:tr>
      <w:tr w14:paraId="551C1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762" w:type="dxa"/>
            <w:noWrap/>
            <w:tcMar>
              <w:top w:w="15" w:type="dxa"/>
              <w:left w:w="15" w:type="dxa"/>
              <w:bottom w:w="0" w:type="dxa"/>
              <w:right w:w="15" w:type="dxa"/>
            </w:tcMar>
            <w:vAlign w:val="center"/>
          </w:tcPr>
          <w:p w14:paraId="08CDD19E">
            <w:pPr>
              <w:pStyle w:val="34"/>
              <w:pBdr>
                <w:bottom w:val="none" w:color="000000" w:sz="0" w:space="0"/>
              </w:pBdr>
              <w:tabs>
                <w:tab w:val="clear" w:pos="7143"/>
                <w:tab w:val="clear" w:pos="14287"/>
              </w:tabs>
              <w:spacing w:before="5"/>
              <w:jc w:val="center"/>
              <w:rPr>
                <w:rFonts w:ascii="宋体"/>
                <w:color w:val="000000" w:themeColor="text1"/>
                <w:highlight w:val="none"/>
                <w:lang w:val="en-US" w:eastAsia="zh-CN"/>
                <w14:textFill>
                  <w14:solidFill>
                    <w14:schemeClr w14:val="tx1"/>
                  </w14:solidFill>
                </w14:textFill>
              </w:rPr>
            </w:pPr>
            <w:r>
              <w:rPr>
                <w:rFonts w:hint="eastAsia" w:ascii="宋体"/>
                <w:color w:val="000000" w:themeColor="text1"/>
                <w:highlight w:val="none"/>
                <w:lang w:val="en-US" w:eastAsia="zh-CN"/>
                <w14:textFill>
                  <w14:solidFill>
                    <w14:schemeClr w14:val="tx1"/>
                  </w14:solidFill>
                </w14:textFill>
              </w:rPr>
              <w:t>1</w:t>
            </w:r>
          </w:p>
        </w:tc>
        <w:tc>
          <w:tcPr>
            <w:tcW w:w="1981" w:type="dxa"/>
            <w:noWrap/>
            <w:tcMar>
              <w:top w:w="15" w:type="dxa"/>
              <w:left w:w="15" w:type="dxa"/>
              <w:bottom w:w="0" w:type="dxa"/>
              <w:right w:w="15" w:type="dxa"/>
            </w:tcMar>
            <w:vAlign w:val="center"/>
          </w:tcPr>
          <w:p w14:paraId="61AEFE84">
            <w:pPr>
              <w:jc w:val="center"/>
              <w:rPr>
                <w:rFonts w:ascii="黑体" w:hAnsi="宋体" w:eastAsia="黑体"/>
                <w:b/>
                <w:bCs/>
                <w:color w:val="000000" w:themeColor="text1"/>
                <w:sz w:val="24"/>
                <w:szCs w:val="24"/>
                <w:highlight w:val="none"/>
                <w14:textFill>
                  <w14:solidFill>
                    <w14:schemeClr w14:val="tx1"/>
                  </w14:solidFill>
                </w14:textFill>
              </w:rPr>
            </w:pPr>
          </w:p>
        </w:tc>
        <w:tc>
          <w:tcPr>
            <w:tcW w:w="2412" w:type="dxa"/>
            <w:noWrap/>
            <w:vAlign w:val="center"/>
          </w:tcPr>
          <w:p w14:paraId="05CE01AA">
            <w:pPr>
              <w:jc w:val="center"/>
              <w:rPr>
                <w:rFonts w:ascii="黑体" w:hAnsi="宋体" w:eastAsia="黑体"/>
                <w:b/>
                <w:bCs/>
                <w:color w:val="000000" w:themeColor="text1"/>
                <w:sz w:val="24"/>
                <w:szCs w:val="24"/>
                <w:highlight w:val="none"/>
                <w14:textFill>
                  <w14:solidFill>
                    <w14:schemeClr w14:val="tx1"/>
                  </w14:solidFill>
                </w14:textFill>
              </w:rPr>
            </w:pPr>
          </w:p>
        </w:tc>
        <w:tc>
          <w:tcPr>
            <w:tcW w:w="1254" w:type="dxa"/>
            <w:noWrap/>
            <w:vAlign w:val="center"/>
          </w:tcPr>
          <w:p w14:paraId="7D56AB8A">
            <w:pPr>
              <w:jc w:val="center"/>
              <w:rPr>
                <w:rFonts w:ascii="黑体" w:hAnsi="宋体" w:eastAsia="黑体"/>
                <w:b/>
                <w:bCs/>
                <w:color w:val="000000" w:themeColor="text1"/>
                <w:sz w:val="24"/>
                <w:szCs w:val="24"/>
                <w:highlight w:val="none"/>
                <w14:textFill>
                  <w14:solidFill>
                    <w14:schemeClr w14:val="tx1"/>
                  </w14:solidFill>
                </w14:textFill>
              </w:rPr>
            </w:pPr>
          </w:p>
        </w:tc>
        <w:tc>
          <w:tcPr>
            <w:tcW w:w="850" w:type="dxa"/>
            <w:noWrap/>
            <w:tcMar>
              <w:top w:w="15" w:type="dxa"/>
              <w:left w:w="15" w:type="dxa"/>
              <w:bottom w:w="0" w:type="dxa"/>
              <w:right w:w="15" w:type="dxa"/>
            </w:tcMar>
            <w:vAlign w:val="center"/>
          </w:tcPr>
          <w:p w14:paraId="44CF5EEE">
            <w:pPr>
              <w:jc w:val="center"/>
              <w:rPr>
                <w:rFonts w:ascii="黑体" w:hAnsi="宋体" w:eastAsia="黑体"/>
                <w:b/>
                <w:bCs/>
                <w:color w:val="000000" w:themeColor="text1"/>
                <w:sz w:val="24"/>
                <w:szCs w:val="24"/>
                <w:highlight w:val="none"/>
                <w14:textFill>
                  <w14:solidFill>
                    <w14:schemeClr w14:val="tx1"/>
                  </w14:solidFill>
                </w14:textFill>
              </w:rPr>
            </w:pPr>
          </w:p>
        </w:tc>
        <w:tc>
          <w:tcPr>
            <w:tcW w:w="1097" w:type="dxa"/>
            <w:noWrap w:val="0"/>
            <w:vAlign w:val="center"/>
          </w:tcPr>
          <w:p w14:paraId="64B15B4C">
            <w:pPr>
              <w:jc w:val="center"/>
              <w:rPr>
                <w:rFonts w:ascii="黑体" w:hAnsi="宋体" w:eastAsia="黑体"/>
                <w:b/>
                <w:bCs/>
                <w:color w:val="000000" w:themeColor="text1"/>
                <w:sz w:val="24"/>
                <w:szCs w:val="24"/>
                <w:highlight w:val="none"/>
                <w14:textFill>
                  <w14:solidFill>
                    <w14:schemeClr w14:val="tx1"/>
                  </w14:solidFill>
                </w14:textFill>
              </w:rPr>
            </w:pPr>
          </w:p>
        </w:tc>
        <w:tc>
          <w:tcPr>
            <w:tcW w:w="1097" w:type="dxa"/>
            <w:noWrap/>
            <w:vAlign w:val="center"/>
          </w:tcPr>
          <w:p w14:paraId="3202F3FF">
            <w:pPr>
              <w:jc w:val="center"/>
              <w:rPr>
                <w:rFonts w:ascii="黑体" w:hAnsi="宋体" w:eastAsia="黑体"/>
                <w:b/>
                <w:bCs/>
                <w:color w:val="000000" w:themeColor="text1"/>
                <w:sz w:val="24"/>
                <w:szCs w:val="24"/>
                <w:highlight w:val="none"/>
                <w14:textFill>
                  <w14:solidFill>
                    <w14:schemeClr w14:val="tx1"/>
                  </w14:solidFill>
                </w14:textFill>
              </w:rPr>
            </w:pPr>
          </w:p>
        </w:tc>
      </w:tr>
      <w:tr w14:paraId="58530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762" w:type="dxa"/>
            <w:noWrap/>
            <w:tcMar>
              <w:top w:w="15" w:type="dxa"/>
              <w:left w:w="15" w:type="dxa"/>
              <w:bottom w:w="0" w:type="dxa"/>
              <w:right w:w="15" w:type="dxa"/>
            </w:tcMar>
            <w:vAlign w:val="center"/>
          </w:tcPr>
          <w:p w14:paraId="1FE1644E">
            <w:pPr>
              <w:jc w:val="center"/>
              <w:rPr>
                <w:rFonts w:ascii="宋体"/>
                <w:color w:val="000000" w:themeColor="text1"/>
                <w:sz w:val="18"/>
                <w:highlight w:val="none"/>
                <w14:textFill>
                  <w14:solidFill>
                    <w14:schemeClr w14:val="tx1"/>
                  </w14:solidFill>
                </w14:textFill>
              </w:rPr>
            </w:pPr>
          </w:p>
        </w:tc>
        <w:tc>
          <w:tcPr>
            <w:tcW w:w="1981" w:type="dxa"/>
            <w:noWrap/>
            <w:tcMar>
              <w:top w:w="15" w:type="dxa"/>
              <w:left w:w="15" w:type="dxa"/>
              <w:bottom w:w="0" w:type="dxa"/>
              <w:right w:w="15" w:type="dxa"/>
            </w:tcMar>
            <w:vAlign w:val="center"/>
          </w:tcPr>
          <w:p w14:paraId="07272762">
            <w:pPr>
              <w:jc w:val="center"/>
              <w:rPr>
                <w:rFonts w:ascii="黑体" w:hAnsi="宋体" w:eastAsia="黑体"/>
                <w:b/>
                <w:bCs/>
                <w:color w:val="000000" w:themeColor="text1"/>
                <w:sz w:val="24"/>
                <w:szCs w:val="24"/>
                <w:highlight w:val="none"/>
                <w14:textFill>
                  <w14:solidFill>
                    <w14:schemeClr w14:val="tx1"/>
                  </w14:solidFill>
                </w14:textFill>
              </w:rPr>
            </w:pPr>
          </w:p>
        </w:tc>
        <w:tc>
          <w:tcPr>
            <w:tcW w:w="2412" w:type="dxa"/>
            <w:noWrap/>
            <w:vAlign w:val="center"/>
          </w:tcPr>
          <w:p w14:paraId="41997D11">
            <w:pPr>
              <w:jc w:val="center"/>
              <w:rPr>
                <w:rFonts w:ascii="黑体" w:hAnsi="宋体" w:eastAsia="黑体"/>
                <w:b/>
                <w:bCs/>
                <w:color w:val="000000" w:themeColor="text1"/>
                <w:sz w:val="24"/>
                <w:szCs w:val="24"/>
                <w:highlight w:val="none"/>
                <w14:textFill>
                  <w14:solidFill>
                    <w14:schemeClr w14:val="tx1"/>
                  </w14:solidFill>
                </w14:textFill>
              </w:rPr>
            </w:pPr>
          </w:p>
        </w:tc>
        <w:tc>
          <w:tcPr>
            <w:tcW w:w="1254" w:type="dxa"/>
            <w:noWrap/>
            <w:vAlign w:val="center"/>
          </w:tcPr>
          <w:p w14:paraId="5F02D630">
            <w:pPr>
              <w:jc w:val="center"/>
              <w:rPr>
                <w:rFonts w:ascii="黑体" w:hAnsi="宋体" w:eastAsia="黑体"/>
                <w:b/>
                <w:bCs/>
                <w:color w:val="000000" w:themeColor="text1"/>
                <w:sz w:val="24"/>
                <w:szCs w:val="24"/>
                <w:highlight w:val="none"/>
                <w14:textFill>
                  <w14:solidFill>
                    <w14:schemeClr w14:val="tx1"/>
                  </w14:solidFill>
                </w14:textFill>
              </w:rPr>
            </w:pPr>
          </w:p>
        </w:tc>
        <w:tc>
          <w:tcPr>
            <w:tcW w:w="850" w:type="dxa"/>
            <w:noWrap/>
            <w:tcMar>
              <w:top w:w="15" w:type="dxa"/>
              <w:left w:w="15" w:type="dxa"/>
              <w:bottom w:w="0" w:type="dxa"/>
              <w:right w:w="15" w:type="dxa"/>
            </w:tcMar>
            <w:vAlign w:val="center"/>
          </w:tcPr>
          <w:p w14:paraId="524E2B36">
            <w:pPr>
              <w:jc w:val="center"/>
              <w:rPr>
                <w:rFonts w:ascii="黑体" w:hAnsi="宋体" w:eastAsia="黑体"/>
                <w:b/>
                <w:bCs/>
                <w:color w:val="000000" w:themeColor="text1"/>
                <w:sz w:val="24"/>
                <w:szCs w:val="24"/>
                <w:highlight w:val="none"/>
                <w14:textFill>
                  <w14:solidFill>
                    <w14:schemeClr w14:val="tx1"/>
                  </w14:solidFill>
                </w14:textFill>
              </w:rPr>
            </w:pPr>
          </w:p>
        </w:tc>
        <w:tc>
          <w:tcPr>
            <w:tcW w:w="1097" w:type="dxa"/>
            <w:noWrap w:val="0"/>
            <w:vAlign w:val="center"/>
          </w:tcPr>
          <w:p w14:paraId="12FF7142">
            <w:pPr>
              <w:jc w:val="center"/>
              <w:rPr>
                <w:rFonts w:ascii="黑体" w:hAnsi="宋体" w:eastAsia="黑体"/>
                <w:b/>
                <w:bCs/>
                <w:color w:val="000000" w:themeColor="text1"/>
                <w:sz w:val="24"/>
                <w:szCs w:val="24"/>
                <w:highlight w:val="none"/>
                <w14:textFill>
                  <w14:solidFill>
                    <w14:schemeClr w14:val="tx1"/>
                  </w14:solidFill>
                </w14:textFill>
              </w:rPr>
            </w:pPr>
          </w:p>
        </w:tc>
        <w:tc>
          <w:tcPr>
            <w:tcW w:w="1097" w:type="dxa"/>
            <w:noWrap/>
            <w:vAlign w:val="center"/>
          </w:tcPr>
          <w:p w14:paraId="1FADF0CF">
            <w:pPr>
              <w:jc w:val="center"/>
              <w:rPr>
                <w:rFonts w:ascii="黑体" w:hAnsi="宋体" w:eastAsia="黑体"/>
                <w:b/>
                <w:bCs/>
                <w:color w:val="000000" w:themeColor="text1"/>
                <w:sz w:val="24"/>
                <w:szCs w:val="24"/>
                <w:highlight w:val="none"/>
                <w14:textFill>
                  <w14:solidFill>
                    <w14:schemeClr w14:val="tx1"/>
                  </w14:solidFill>
                </w14:textFill>
              </w:rPr>
            </w:pPr>
          </w:p>
        </w:tc>
      </w:tr>
      <w:tr w14:paraId="4AA63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762" w:type="dxa"/>
            <w:noWrap/>
            <w:tcMar>
              <w:top w:w="15" w:type="dxa"/>
              <w:left w:w="15" w:type="dxa"/>
              <w:bottom w:w="0" w:type="dxa"/>
              <w:right w:w="15" w:type="dxa"/>
            </w:tcMar>
            <w:vAlign w:val="center"/>
          </w:tcPr>
          <w:p w14:paraId="50D5BBCA">
            <w:pPr>
              <w:jc w:val="center"/>
              <w:rPr>
                <w:rFonts w:ascii="宋体"/>
                <w:color w:val="000000" w:themeColor="text1"/>
                <w:sz w:val="18"/>
                <w:highlight w:val="none"/>
                <w14:textFill>
                  <w14:solidFill>
                    <w14:schemeClr w14:val="tx1"/>
                  </w14:solidFill>
                </w14:textFill>
              </w:rPr>
            </w:pPr>
          </w:p>
        </w:tc>
        <w:tc>
          <w:tcPr>
            <w:tcW w:w="1981" w:type="dxa"/>
            <w:noWrap/>
            <w:tcMar>
              <w:top w:w="15" w:type="dxa"/>
              <w:left w:w="15" w:type="dxa"/>
              <w:bottom w:w="0" w:type="dxa"/>
              <w:right w:w="15" w:type="dxa"/>
            </w:tcMar>
            <w:vAlign w:val="center"/>
          </w:tcPr>
          <w:p w14:paraId="0810B9E5">
            <w:pPr>
              <w:jc w:val="center"/>
              <w:rPr>
                <w:rFonts w:ascii="黑体" w:eastAsia="黑体"/>
                <w:b/>
                <w:bCs/>
                <w:color w:val="000000" w:themeColor="text1"/>
                <w:highlight w:val="none"/>
                <w14:textFill>
                  <w14:solidFill>
                    <w14:schemeClr w14:val="tx1"/>
                  </w14:solidFill>
                </w14:textFill>
              </w:rPr>
            </w:pPr>
            <w:r>
              <w:rPr>
                <w:rFonts w:ascii="黑体" w:eastAsia="黑体"/>
                <w:b/>
                <w:bCs/>
                <w:color w:val="000000" w:themeColor="text1"/>
                <w:highlight w:val="none"/>
                <w14:textFill>
                  <w14:solidFill>
                    <w14:schemeClr w14:val="tx1"/>
                  </w14:solidFill>
                </w14:textFill>
              </w:rPr>
              <w:t>……</w:t>
            </w:r>
          </w:p>
        </w:tc>
        <w:tc>
          <w:tcPr>
            <w:tcW w:w="2412" w:type="dxa"/>
            <w:noWrap/>
            <w:vAlign w:val="center"/>
          </w:tcPr>
          <w:p w14:paraId="79E217DE">
            <w:pPr>
              <w:jc w:val="center"/>
              <w:rPr>
                <w:rFonts w:ascii="黑体" w:hAnsi="宋体" w:eastAsia="黑体"/>
                <w:b/>
                <w:bCs/>
                <w:color w:val="000000" w:themeColor="text1"/>
                <w:sz w:val="24"/>
                <w:szCs w:val="24"/>
                <w:highlight w:val="none"/>
                <w14:textFill>
                  <w14:solidFill>
                    <w14:schemeClr w14:val="tx1"/>
                  </w14:solidFill>
                </w14:textFill>
              </w:rPr>
            </w:pPr>
          </w:p>
        </w:tc>
        <w:tc>
          <w:tcPr>
            <w:tcW w:w="1254" w:type="dxa"/>
            <w:noWrap/>
            <w:vAlign w:val="center"/>
          </w:tcPr>
          <w:p w14:paraId="60B114A1">
            <w:pPr>
              <w:jc w:val="center"/>
              <w:rPr>
                <w:rFonts w:ascii="黑体" w:hAnsi="宋体" w:eastAsia="黑体"/>
                <w:b/>
                <w:bCs/>
                <w:color w:val="000000" w:themeColor="text1"/>
                <w:sz w:val="24"/>
                <w:szCs w:val="24"/>
                <w:highlight w:val="none"/>
                <w14:textFill>
                  <w14:solidFill>
                    <w14:schemeClr w14:val="tx1"/>
                  </w14:solidFill>
                </w14:textFill>
              </w:rPr>
            </w:pPr>
          </w:p>
        </w:tc>
        <w:tc>
          <w:tcPr>
            <w:tcW w:w="850" w:type="dxa"/>
            <w:noWrap/>
            <w:tcMar>
              <w:top w:w="15" w:type="dxa"/>
              <w:left w:w="15" w:type="dxa"/>
              <w:bottom w:w="0" w:type="dxa"/>
              <w:right w:w="15" w:type="dxa"/>
            </w:tcMar>
            <w:vAlign w:val="center"/>
          </w:tcPr>
          <w:p w14:paraId="0C19A66A">
            <w:pPr>
              <w:jc w:val="center"/>
              <w:rPr>
                <w:rFonts w:ascii="黑体" w:eastAsia="黑体"/>
                <w:b/>
                <w:bCs/>
                <w:color w:val="000000" w:themeColor="text1"/>
                <w:highlight w:val="none"/>
                <w14:textFill>
                  <w14:solidFill>
                    <w14:schemeClr w14:val="tx1"/>
                  </w14:solidFill>
                </w14:textFill>
              </w:rPr>
            </w:pPr>
          </w:p>
        </w:tc>
        <w:tc>
          <w:tcPr>
            <w:tcW w:w="1097" w:type="dxa"/>
            <w:noWrap w:val="0"/>
            <w:vAlign w:val="center"/>
          </w:tcPr>
          <w:p w14:paraId="53432C48">
            <w:pPr>
              <w:jc w:val="center"/>
              <w:rPr>
                <w:rFonts w:ascii="黑体" w:hAnsi="宋体" w:eastAsia="黑体"/>
                <w:b/>
                <w:bCs/>
                <w:color w:val="000000" w:themeColor="text1"/>
                <w:sz w:val="24"/>
                <w:szCs w:val="24"/>
                <w:highlight w:val="none"/>
                <w14:textFill>
                  <w14:solidFill>
                    <w14:schemeClr w14:val="tx1"/>
                  </w14:solidFill>
                </w14:textFill>
              </w:rPr>
            </w:pPr>
          </w:p>
        </w:tc>
        <w:tc>
          <w:tcPr>
            <w:tcW w:w="1097" w:type="dxa"/>
            <w:noWrap/>
            <w:vAlign w:val="center"/>
          </w:tcPr>
          <w:p w14:paraId="100C6A68">
            <w:pPr>
              <w:jc w:val="center"/>
              <w:rPr>
                <w:rFonts w:ascii="黑体" w:hAnsi="宋体" w:eastAsia="黑体"/>
                <w:b/>
                <w:bCs/>
                <w:color w:val="000000" w:themeColor="text1"/>
                <w:sz w:val="24"/>
                <w:szCs w:val="24"/>
                <w:highlight w:val="none"/>
                <w14:textFill>
                  <w14:solidFill>
                    <w14:schemeClr w14:val="tx1"/>
                  </w14:solidFill>
                </w14:textFill>
              </w:rPr>
            </w:pPr>
          </w:p>
        </w:tc>
      </w:tr>
    </w:tbl>
    <w:p w14:paraId="0D3EA724">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供应商名称（盖章）：</w:t>
      </w:r>
    </w:p>
    <w:p w14:paraId="4AB16D4B">
      <w:pPr>
        <w:spacing w:line="400" w:lineRule="exact"/>
        <w:outlineLvl w:val="0"/>
        <w:rPr>
          <w:rFonts w:ascii="宋体" w:hAnsi="宋体"/>
          <w:b/>
          <w:color w:val="000000" w:themeColor="text1"/>
          <w:highlight w:val="none"/>
          <w14:textFill>
            <w14:solidFill>
              <w14:schemeClr w14:val="tx1"/>
            </w14:solidFill>
          </w14:textFill>
        </w:rPr>
      </w:pPr>
    </w:p>
    <w:p w14:paraId="40B10DD6">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供应商为本项目提供的服务全部由符合政策要求的中小企业承接的，须提供按格式填写的《中小企业声明函》（服务）；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江苏信中天工程咨询有限公司有权将相关内容进行公示；</w:t>
      </w:r>
    </w:p>
    <w:p w14:paraId="2B7A49EF">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）供应商应当根据“采购需求”的内容在上表中详细填写；</w:t>
      </w:r>
    </w:p>
    <w:p w14:paraId="735824B2">
      <w:pPr>
        <w:spacing w:line="400" w:lineRule="exact"/>
        <w:ind w:firstLine="315"/>
        <w:outlineLvl w:val="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6D1B2C3D">
      <w:pPr>
        <w:spacing w:line="400" w:lineRule="exact"/>
        <w:outlineLvl w:val="0"/>
        <w:rPr>
          <w:b/>
          <w:color w:val="000000" w:themeColor="text1"/>
          <w:sz w:val="28"/>
          <w:szCs w:val="28"/>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br w:type="page" w:clear="all"/>
      </w:r>
      <w:bookmarkStart w:id="170" w:name="_Toc120614284"/>
      <w:r>
        <w:rPr>
          <w:rFonts w:hint="eastAsia"/>
          <w:b/>
          <w:color w:val="000000" w:themeColor="text1"/>
          <w:sz w:val="28"/>
          <w:szCs w:val="28"/>
          <w:highlight w:val="none"/>
          <w14:textFill>
            <w14:solidFill>
              <w14:schemeClr w14:val="tx1"/>
            </w14:solidFill>
          </w14:textFill>
        </w:rPr>
        <w:t>十</w:t>
      </w:r>
      <w:r>
        <w:rPr>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14:textFill>
            <w14:solidFill>
              <w14:schemeClr w14:val="tx1"/>
            </w14:solidFill>
          </w14:textFill>
        </w:rPr>
        <w:t>响应偏离表（给定格式）：</w:t>
      </w:r>
    </w:p>
    <w:p w14:paraId="5442A9A2">
      <w:pPr>
        <w:ind w:firstLine="490"/>
        <w:jc w:val="center"/>
        <w:outlineLvl w:val="0"/>
        <w:rPr>
          <w:rFonts w:ascii="黑体" w:eastAsia="黑体"/>
          <w:bCs/>
          <w:color w:val="000000" w:themeColor="text1"/>
          <w:sz w:val="28"/>
          <w:szCs w:val="28"/>
          <w:highlight w:val="none"/>
          <w14:textFill>
            <w14:solidFill>
              <w14:schemeClr w14:val="tx1"/>
            </w14:solidFill>
          </w14:textFill>
        </w:rPr>
      </w:pPr>
    </w:p>
    <w:p w14:paraId="5D3AB8AA">
      <w:pPr>
        <w:ind w:firstLine="490"/>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响应偏离表</w:t>
      </w:r>
    </w:p>
    <w:p w14:paraId="578C70DD">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4EA80DF2">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55C576C5">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62"/>
        <w:tblW w:w="8878" w:type="dxa"/>
        <w:jc w:val="center"/>
        <w:tblLayout w:type="fixed"/>
        <w:tblCellMar>
          <w:top w:w="0" w:type="dxa"/>
          <w:left w:w="0" w:type="dxa"/>
          <w:bottom w:w="0" w:type="dxa"/>
          <w:right w:w="0" w:type="dxa"/>
        </w:tblCellMar>
      </w:tblPr>
      <w:tblGrid>
        <w:gridCol w:w="1843"/>
        <w:gridCol w:w="2530"/>
        <w:gridCol w:w="2410"/>
        <w:gridCol w:w="2095"/>
      </w:tblGrid>
      <w:tr w14:paraId="587E227E">
        <w:tblPrEx>
          <w:tblCellMar>
            <w:top w:w="0" w:type="dxa"/>
            <w:left w:w="0" w:type="dxa"/>
            <w:bottom w:w="0" w:type="dxa"/>
            <w:right w:w="0" w:type="dxa"/>
          </w:tblCellMar>
        </w:tblPrEx>
        <w:trPr>
          <w:cantSplit/>
          <w:trHeight w:val="555" w:hRule="atLeast"/>
          <w:jc w:val="center"/>
        </w:trPr>
        <w:tc>
          <w:tcPr>
            <w:tcW w:w="184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232F01">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名称</w:t>
            </w:r>
          </w:p>
        </w:tc>
        <w:tc>
          <w:tcPr>
            <w:tcW w:w="2530" w:type="dxa"/>
            <w:tcBorders>
              <w:top w:val="single" w:color="000000" w:sz="4" w:space="0"/>
              <w:left w:val="single" w:color="000000" w:sz="4" w:space="0"/>
              <w:bottom w:val="single" w:color="000000" w:sz="4" w:space="0"/>
              <w:right w:val="single" w:color="000000" w:sz="4" w:space="0"/>
            </w:tcBorders>
            <w:noWrap/>
            <w:vAlign w:val="center"/>
          </w:tcPr>
          <w:p w14:paraId="7B60E91F">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采购要求</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BCA22DD">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实报内容</w:t>
            </w:r>
          </w:p>
        </w:tc>
        <w:tc>
          <w:tcPr>
            <w:tcW w:w="2095" w:type="dxa"/>
            <w:tcBorders>
              <w:top w:val="single" w:color="000000" w:sz="4" w:space="0"/>
              <w:left w:val="single" w:color="000000" w:sz="4" w:space="0"/>
              <w:bottom w:val="single" w:color="000000" w:sz="4" w:space="0"/>
              <w:right w:val="single" w:color="000000" w:sz="4" w:space="0"/>
            </w:tcBorders>
            <w:noWrap/>
            <w:vAlign w:val="center"/>
          </w:tcPr>
          <w:p w14:paraId="536E68BA">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偏离说明</w:t>
            </w:r>
          </w:p>
        </w:tc>
      </w:tr>
      <w:tr w14:paraId="067F6C65">
        <w:tblPrEx>
          <w:tblCellMar>
            <w:top w:w="0" w:type="dxa"/>
            <w:left w:w="0" w:type="dxa"/>
            <w:bottom w:w="0" w:type="dxa"/>
            <w:right w:w="0" w:type="dxa"/>
          </w:tblCellMar>
        </w:tblPrEx>
        <w:trPr>
          <w:cantSplit/>
          <w:trHeight w:val="510" w:hRule="atLeast"/>
          <w:jc w:val="center"/>
        </w:trPr>
        <w:tc>
          <w:tcPr>
            <w:tcW w:w="184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F9BBE68">
            <w:pPr>
              <w:jc w:val="center"/>
              <w:rPr>
                <w:rFonts w:ascii="宋体"/>
                <w:bCs/>
                <w:color w:val="000000" w:themeColor="text1"/>
                <w:highlight w:val="none"/>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noWrap/>
            <w:vAlign w:val="center"/>
          </w:tcPr>
          <w:p w14:paraId="44B75425">
            <w:pPr>
              <w:rPr>
                <w:rFonts w:ascii="宋体"/>
                <w:bCs/>
                <w:color w:val="000000" w:themeColor="text1"/>
                <w:highlight w:val="none"/>
                <w14:textFill>
                  <w14:solidFill>
                    <w14:schemeClr w14:val="tx1"/>
                  </w14:solidFill>
                </w14:textFill>
              </w:rPr>
            </w:pP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2644074">
            <w:pPr>
              <w:jc w:val="center"/>
              <w:rPr>
                <w:rFonts w:ascii="宋体"/>
                <w:bCs/>
                <w:color w:val="000000" w:themeColor="text1"/>
                <w:highlight w:val="none"/>
                <w14:textFill>
                  <w14:solidFill>
                    <w14:schemeClr w14:val="tx1"/>
                  </w14:solidFill>
                </w14:textFill>
              </w:rPr>
            </w:pPr>
          </w:p>
        </w:tc>
        <w:tc>
          <w:tcPr>
            <w:tcW w:w="2095" w:type="dxa"/>
            <w:tcBorders>
              <w:top w:val="single" w:color="000000" w:sz="4" w:space="0"/>
              <w:left w:val="single" w:color="000000" w:sz="4" w:space="0"/>
              <w:bottom w:val="single" w:color="000000" w:sz="4" w:space="0"/>
              <w:right w:val="single" w:color="000000" w:sz="4" w:space="0"/>
            </w:tcBorders>
            <w:noWrap/>
            <w:vAlign w:val="center"/>
          </w:tcPr>
          <w:p w14:paraId="10A4A607">
            <w:pPr>
              <w:jc w:val="center"/>
              <w:rPr>
                <w:rFonts w:ascii="宋体"/>
                <w:bCs/>
                <w:color w:val="000000" w:themeColor="text1"/>
                <w:highlight w:val="none"/>
                <w14:textFill>
                  <w14:solidFill>
                    <w14:schemeClr w14:val="tx1"/>
                  </w14:solidFill>
                </w14:textFill>
              </w:rPr>
            </w:pPr>
          </w:p>
        </w:tc>
      </w:tr>
    </w:tbl>
    <w:p w14:paraId="16B408E8">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供应商名称（盖章）：</w:t>
      </w:r>
    </w:p>
    <w:p w14:paraId="05F62506">
      <w:pPr>
        <w:rPr>
          <w:rFonts w:ascii="宋体"/>
          <w:bCs/>
          <w:color w:val="000000" w:themeColor="text1"/>
          <w:sz w:val="30"/>
          <w:highlight w:val="none"/>
          <w14:textFill>
            <w14:solidFill>
              <w14:schemeClr w14:val="tx1"/>
            </w14:solidFill>
          </w14:textFill>
        </w:rPr>
      </w:pPr>
    </w:p>
    <w:p w14:paraId="60145327">
      <w:pPr>
        <w:ind w:firstLine="42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w:t>
      </w:r>
      <w:r>
        <w:rPr>
          <w:rFonts w:ascii="宋体" w:hAnsi="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）本表不得删除；</w:t>
      </w:r>
    </w:p>
    <w:p w14:paraId="03A37E8D">
      <w:pPr>
        <w:ind w:firstLine="900" w:firstLineChars="375"/>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）如无任何技术偏离，请于本表 “偏离说明”中注明“无偏离”；</w:t>
      </w:r>
    </w:p>
    <w:p w14:paraId="45B8FCC4">
      <w:pPr>
        <w:ind w:firstLine="42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（3）如有技术偏离项，请于本表中列明偏离内容，如需要可自行延长，其余无偏离内容不须赘述。</w:t>
      </w:r>
      <w:bookmarkEnd w:id="170"/>
      <w:bookmarkStart w:id="171" w:name="_Hlt26671374"/>
      <w:bookmarkEnd w:id="171"/>
      <w:bookmarkStart w:id="172" w:name="_Hlt26955066"/>
      <w:bookmarkEnd w:id="172"/>
      <w:bookmarkStart w:id="173" w:name="_格式2__法定代表人授权书"/>
      <w:bookmarkEnd w:id="173"/>
      <w:bookmarkStart w:id="174" w:name="_Hlt26609389"/>
      <w:bookmarkEnd w:id="174"/>
    </w:p>
    <w:p w14:paraId="78E7A2B6">
      <w:pPr>
        <w:outlineLvl w:val="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十一、项目组人员配置清单（格式）</w:t>
      </w:r>
    </w:p>
    <w:p w14:paraId="2D9350C7">
      <w:pPr>
        <w:spacing w:line="400" w:lineRule="exact"/>
        <w:rPr>
          <w:rFonts w:ascii="黑体" w:eastAsia="黑体"/>
          <w:bCs/>
          <w:color w:val="000000" w:themeColor="text1"/>
          <w:sz w:val="28"/>
          <w:szCs w:val="28"/>
          <w:highlight w:val="none"/>
          <w14:textFill>
            <w14:solidFill>
              <w14:schemeClr w14:val="tx1"/>
            </w14:solidFill>
          </w14:textFill>
        </w:rPr>
      </w:pPr>
    </w:p>
    <w:p w14:paraId="3C7A6555">
      <w:pPr>
        <w:spacing w:line="400" w:lineRule="exact"/>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项目组人员配置清单</w:t>
      </w:r>
    </w:p>
    <w:p w14:paraId="7714A295">
      <w:pPr>
        <w:spacing w:line="400" w:lineRule="exact"/>
        <w:jc w:val="center"/>
        <w:rPr>
          <w:rFonts w:ascii="黑体" w:eastAsia="黑体"/>
          <w:bCs/>
          <w:color w:val="000000" w:themeColor="text1"/>
          <w:sz w:val="28"/>
          <w:szCs w:val="28"/>
          <w:highlight w:val="none"/>
          <w14:textFill>
            <w14:solidFill>
              <w14:schemeClr w14:val="tx1"/>
            </w14:solidFill>
          </w14:textFill>
        </w:rPr>
      </w:pPr>
    </w:p>
    <w:p w14:paraId="09D7713D">
      <w:pPr>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p>
    <w:tbl>
      <w:tblPr>
        <w:tblStyle w:val="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1417"/>
        <w:gridCol w:w="1134"/>
        <w:gridCol w:w="2005"/>
        <w:gridCol w:w="3274"/>
      </w:tblGrid>
      <w:tr w14:paraId="5F95C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864" w:type="dxa"/>
            <w:noWrap/>
            <w:vAlign w:val="center"/>
          </w:tcPr>
          <w:p w14:paraId="694499FC">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417" w:type="dxa"/>
            <w:noWrap/>
            <w:vAlign w:val="center"/>
          </w:tcPr>
          <w:p w14:paraId="188BE2CC">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姓名</w:t>
            </w:r>
          </w:p>
        </w:tc>
        <w:tc>
          <w:tcPr>
            <w:tcW w:w="1134" w:type="dxa"/>
            <w:noWrap/>
            <w:vAlign w:val="center"/>
          </w:tcPr>
          <w:p w14:paraId="111222FC">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年龄</w:t>
            </w:r>
          </w:p>
        </w:tc>
        <w:tc>
          <w:tcPr>
            <w:tcW w:w="2005" w:type="dxa"/>
            <w:noWrap/>
            <w:vAlign w:val="center"/>
          </w:tcPr>
          <w:p w14:paraId="534AAD82">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本项目职责</w:t>
            </w:r>
          </w:p>
        </w:tc>
        <w:tc>
          <w:tcPr>
            <w:tcW w:w="3274" w:type="dxa"/>
            <w:noWrap/>
            <w:vAlign w:val="center"/>
          </w:tcPr>
          <w:p w14:paraId="2A73CAB4">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人员证书名称</w:t>
            </w:r>
          </w:p>
        </w:tc>
      </w:tr>
      <w:tr w14:paraId="6EFC5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711B72A5">
            <w:pPr>
              <w:outlineLvl w:val="0"/>
              <w:rPr>
                <w:rFonts w:ascii="黑体" w:eastAsia="黑体"/>
                <w:bCs/>
                <w:color w:val="000000" w:themeColor="text1"/>
                <w:sz w:val="24"/>
                <w:szCs w:val="24"/>
                <w:highlight w:val="none"/>
                <w14:textFill>
                  <w14:solidFill>
                    <w14:schemeClr w14:val="tx1"/>
                  </w14:solidFill>
                </w14:textFill>
              </w:rPr>
            </w:pPr>
          </w:p>
        </w:tc>
        <w:tc>
          <w:tcPr>
            <w:tcW w:w="1417" w:type="dxa"/>
            <w:noWrap/>
            <w:vAlign w:val="top"/>
          </w:tcPr>
          <w:p w14:paraId="48E6160A">
            <w:pPr>
              <w:outlineLvl w:val="0"/>
              <w:rPr>
                <w:rFonts w:ascii="黑体" w:eastAsia="黑体"/>
                <w:bCs/>
                <w:color w:val="000000" w:themeColor="text1"/>
                <w:sz w:val="24"/>
                <w:szCs w:val="24"/>
                <w:highlight w:val="none"/>
                <w14:textFill>
                  <w14:solidFill>
                    <w14:schemeClr w14:val="tx1"/>
                  </w14:solidFill>
                </w14:textFill>
              </w:rPr>
            </w:pPr>
          </w:p>
        </w:tc>
        <w:tc>
          <w:tcPr>
            <w:tcW w:w="1134" w:type="dxa"/>
            <w:noWrap/>
            <w:vAlign w:val="top"/>
          </w:tcPr>
          <w:p w14:paraId="3C5DCCE9">
            <w:pPr>
              <w:outlineLvl w:val="0"/>
              <w:rPr>
                <w:rFonts w:ascii="黑体" w:eastAsia="黑体"/>
                <w:bCs/>
                <w:color w:val="000000" w:themeColor="text1"/>
                <w:sz w:val="24"/>
                <w:szCs w:val="24"/>
                <w:highlight w:val="none"/>
                <w14:textFill>
                  <w14:solidFill>
                    <w14:schemeClr w14:val="tx1"/>
                  </w14:solidFill>
                </w14:textFill>
              </w:rPr>
            </w:pPr>
          </w:p>
        </w:tc>
        <w:tc>
          <w:tcPr>
            <w:tcW w:w="2005" w:type="dxa"/>
            <w:noWrap/>
            <w:vAlign w:val="top"/>
          </w:tcPr>
          <w:p w14:paraId="6CAB3779">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ign w:val="top"/>
          </w:tcPr>
          <w:p w14:paraId="72919A57">
            <w:pPr>
              <w:outlineLvl w:val="0"/>
              <w:rPr>
                <w:rFonts w:ascii="黑体" w:eastAsia="黑体"/>
                <w:bCs/>
                <w:color w:val="000000" w:themeColor="text1"/>
                <w:sz w:val="24"/>
                <w:szCs w:val="24"/>
                <w:highlight w:val="none"/>
                <w14:textFill>
                  <w14:solidFill>
                    <w14:schemeClr w14:val="tx1"/>
                  </w14:solidFill>
                </w14:textFill>
              </w:rPr>
            </w:pPr>
          </w:p>
        </w:tc>
      </w:tr>
      <w:tr w14:paraId="5471A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6168E89B">
            <w:pPr>
              <w:outlineLvl w:val="0"/>
              <w:rPr>
                <w:rFonts w:ascii="黑体" w:eastAsia="黑体"/>
                <w:bCs/>
                <w:color w:val="000000" w:themeColor="text1"/>
                <w:sz w:val="24"/>
                <w:szCs w:val="24"/>
                <w:highlight w:val="none"/>
                <w14:textFill>
                  <w14:solidFill>
                    <w14:schemeClr w14:val="tx1"/>
                  </w14:solidFill>
                </w14:textFill>
              </w:rPr>
            </w:pPr>
          </w:p>
        </w:tc>
        <w:tc>
          <w:tcPr>
            <w:tcW w:w="1417" w:type="dxa"/>
            <w:noWrap/>
            <w:vAlign w:val="top"/>
          </w:tcPr>
          <w:p w14:paraId="132A0743">
            <w:pPr>
              <w:outlineLvl w:val="0"/>
              <w:rPr>
                <w:rFonts w:ascii="黑体" w:eastAsia="黑体"/>
                <w:bCs/>
                <w:color w:val="000000" w:themeColor="text1"/>
                <w:sz w:val="24"/>
                <w:szCs w:val="24"/>
                <w:highlight w:val="none"/>
                <w14:textFill>
                  <w14:solidFill>
                    <w14:schemeClr w14:val="tx1"/>
                  </w14:solidFill>
                </w14:textFill>
              </w:rPr>
            </w:pPr>
          </w:p>
        </w:tc>
        <w:tc>
          <w:tcPr>
            <w:tcW w:w="1134" w:type="dxa"/>
            <w:noWrap/>
            <w:vAlign w:val="top"/>
          </w:tcPr>
          <w:p w14:paraId="5D7020C1">
            <w:pPr>
              <w:outlineLvl w:val="0"/>
              <w:rPr>
                <w:rFonts w:ascii="黑体" w:eastAsia="黑体"/>
                <w:bCs/>
                <w:color w:val="000000" w:themeColor="text1"/>
                <w:sz w:val="24"/>
                <w:szCs w:val="24"/>
                <w:highlight w:val="none"/>
                <w14:textFill>
                  <w14:solidFill>
                    <w14:schemeClr w14:val="tx1"/>
                  </w14:solidFill>
                </w14:textFill>
              </w:rPr>
            </w:pPr>
          </w:p>
        </w:tc>
        <w:tc>
          <w:tcPr>
            <w:tcW w:w="2005" w:type="dxa"/>
            <w:noWrap/>
            <w:vAlign w:val="top"/>
          </w:tcPr>
          <w:p w14:paraId="29DAC101">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ign w:val="top"/>
          </w:tcPr>
          <w:p w14:paraId="5B51122D">
            <w:pPr>
              <w:outlineLvl w:val="0"/>
              <w:rPr>
                <w:rFonts w:ascii="黑体" w:eastAsia="黑体"/>
                <w:bCs/>
                <w:color w:val="000000" w:themeColor="text1"/>
                <w:sz w:val="24"/>
                <w:szCs w:val="24"/>
                <w:highlight w:val="none"/>
                <w14:textFill>
                  <w14:solidFill>
                    <w14:schemeClr w14:val="tx1"/>
                  </w14:solidFill>
                </w14:textFill>
              </w:rPr>
            </w:pPr>
          </w:p>
        </w:tc>
      </w:tr>
      <w:tr w14:paraId="5EFF2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2A3CB7B8">
            <w:pPr>
              <w:outlineLvl w:val="0"/>
              <w:rPr>
                <w:rFonts w:ascii="黑体" w:eastAsia="黑体"/>
                <w:bCs/>
                <w:color w:val="000000" w:themeColor="text1"/>
                <w:sz w:val="24"/>
                <w:szCs w:val="24"/>
                <w:highlight w:val="none"/>
                <w14:textFill>
                  <w14:solidFill>
                    <w14:schemeClr w14:val="tx1"/>
                  </w14:solidFill>
                </w14:textFill>
              </w:rPr>
            </w:pPr>
          </w:p>
        </w:tc>
        <w:tc>
          <w:tcPr>
            <w:tcW w:w="1417" w:type="dxa"/>
            <w:noWrap/>
            <w:vAlign w:val="top"/>
          </w:tcPr>
          <w:p w14:paraId="17296C12">
            <w:pPr>
              <w:outlineLvl w:val="0"/>
              <w:rPr>
                <w:rFonts w:ascii="黑体" w:eastAsia="黑体"/>
                <w:bCs/>
                <w:color w:val="000000" w:themeColor="text1"/>
                <w:sz w:val="24"/>
                <w:szCs w:val="24"/>
                <w:highlight w:val="none"/>
                <w14:textFill>
                  <w14:solidFill>
                    <w14:schemeClr w14:val="tx1"/>
                  </w14:solidFill>
                </w14:textFill>
              </w:rPr>
            </w:pPr>
          </w:p>
        </w:tc>
        <w:tc>
          <w:tcPr>
            <w:tcW w:w="1134" w:type="dxa"/>
            <w:noWrap/>
            <w:vAlign w:val="top"/>
          </w:tcPr>
          <w:p w14:paraId="6CE167F4">
            <w:pPr>
              <w:outlineLvl w:val="0"/>
              <w:rPr>
                <w:rFonts w:ascii="黑体" w:eastAsia="黑体"/>
                <w:bCs/>
                <w:color w:val="000000" w:themeColor="text1"/>
                <w:sz w:val="24"/>
                <w:szCs w:val="24"/>
                <w:highlight w:val="none"/>
                <w14:textFill>
                  <w14:solidFill>
                    <w14:schemeClr w14:val="tx1"/>
                  </w14:solidFill>
                </w14:textFill>
              </w:rPr>
            </w:pPr>
          </w:p>
        </w:tc>
        <w:tc>
          <w:tcPr>
            <w:tcW w:w="2005" w:type="dxa"/>
            <w:noWrap/>
            <w:vAlign w:val="top"/>
          </w:tcPr>
          <w:p w14:paraId="4A780BA7">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ign w:val="top"/>
          </w:tcPr>
          <w:p w14:paraId="3C381E44">
            <w:pPr>
              <w:outlineLvl w:val="0"/>
              <w:rPr>
                <w:rFonts w:ascii="黑体" w:eastAsia="黑体"/>
                <w:bCs/>
                <w:color w:val="000000" w:themeColor="text1"/>
                <w:sz w:val="24"/>
                <w:szCs w:val="24"/>
                <w:highlight w:val="none"/>
                <w14:textFill>
                  <w14:solidFill>
                    <w14:schemeClr w14:val="tx1"/>
                  </w14:solidFill>
                </w14:textFill>
              </w:rPr>
            </w:pPr>
          </w:p>
        </w:tc>
      </w:tr>
      <w:tr w14:paraId="76364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20BF6F89">
            <w:pPr>
              <w:outlineLvl w:val="0"/>
              <w:rPr>
                <w:rFonts w:ascii="黑体" w:eastAsia="黑体"/>
                <w:bCs/>
                <w:color w:val="000000" w:themeColor="text1"/>
                <w:sz w:val="24"/>
                <w:szCs w:val="24"/>
                <w:highlight w:val="none"/>
                <w14:textFill>
                  <w14:solidFill>
                    <w14:schemeClr w14:val="tx1"/>
                  </w14:solidFill>
                </w14:textFill>
              </w:rPr>
            </w:pPr>
          </w:p>
        </w:tc>
        <w:tc>
          <w:tcPr>
            <w:tcW w:w="1417" w:type="dxa"/>
            <w:noWrap/>
            <w:vAlign w:val="top"/>
          </w:tcPr>
          <w:p w14:paraId="0230081C">
            <w:pPr>
              <w:outlineLvl w:val="0"/>
              <w:rPr>
                <w:rFonts w:ascii="黑体" w:eastAsia="黑体"/>
                <w:bCs/>
                <w:color w:val="000000" w:themeColor="text1"/>
                <w:sz w:val="24"/>
                <w:szCs w:val="24"/>
                <w:highlight w:val="none"/>
                <w14:textFill>
                  <w14:solidFill>
                    <w14:schemeClr w14:val="tx1"/>
                  </w14:solidFill>
                </w14:textFill>
              </w:rPr>
            </w:pPr>
          </w:p>
        </w:tc>
        <w:tc>
          <w:tcPr>
            <w:tcW w:w="1134" w:type="dxa"/>
            <w:noWrap/>
            <w:vAlign w:val="top"/>
          </w:tcPr>
          <w:p w14:paraId="709CA21A">
            <w:pPr>
              <w:outlineLvl w:val="0"/>
              <w:rPr>
                <w:rFonts w:ascii="黑体" w:eastAsia="黑体"/>
                <w:bCs/>
                <w:color w:val="000000" w:themeColor="text1"/>
                <w:sz w:val="24"/>
                <w:szCs w:val="24"/>
                <w:highlight w:val="none"/>
                <w14:textFill>
                  <w14:solidFill>
                    <w14:schemeClr w14:val="tx1"/>
                  </w14:solidFill>
                </w14:textFill>
              </w:rPr>
            </w:pPr>
          </w:p>
        </w:tc>
        <w:tc>
          <w:tcPr>
            <w:tcW w:w="2005" w:type="dxa"/>
            <w:noWrap/>
            <w:vAlign w:val="top"/>
          </w:tcPr>
          <w:p w14:paraId="51C6A10B">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ign w:val="top"/>
          </w:tcPr>
          <w:p w14:paraId="3F48E580">
            <w:pPr>
              <w:outlineLvl w:val="0"/>
              <w:rPr>
                <w:rFonts w:ascii="黑体" w:eastAsia="黑体"/>
                <w:bCs/>
                <w:color w:val="000000" w:themeColor="text1"/>
                <w:sz w:val="24"/>
                <w:szCs w:val="24"/>
                <w:highlight w:val="none"/>
                <w14:textFill>
                  <w14:solidFill>
                    <w14:schemeClr w14:val="tx1"/>
                  </w14:solidFill>
                </w14:textFill>
              </w:rPr>
            </w:pPr>
          </w:p>
        </w:tc>
      </w:tr>
      <w:tr w14:paraId="169DC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4E1F183A">
            <w:pPr>
              <w:outlineLvl w:val="0"/>
              <w:rPr>
                <w:rFonts w:ascii="黑体" w:eastAsia="黑体"/>
                <w:bCs/>
                <w:color w:val="000000" w:themeColor="text1"/>
                <w:sz w:val="24"/>
                <w:szCs w:val="24"/>
                <w:highlight w:val="none"/>
                <w14:textFill>
                  <w14:solidFill>
                    <w14:schemeClr w14:val="tx1"/>
                  </w14:solidFill>
                </w14:textFill>
              </w:rPr>
            </w:pPr>
          </w:p>
        </w:tc>
        <w:tc>
          <w:tcPr>
            <w:tcW w:w="1417" w:type="dxa"/>
            <w:noWrap/>
            <w:vAlign w:val="top"/>
          </w:tcPr>
          <w:p w14:paraId="71901F2C">
            <w:pPr>
              <w:outlineLvl w:val="0"/>
              <w:rPr>
                <w:rFonts w:ascii="黑体" w:eastAsia="黑体"/>
                <w:bCs/>
                <w:color w:val="000000" w:themeColor="text1"/>
                <w:sz w:val="24"/>
                <w:szCs w:val="24"/>
                <w:highlight w:val="none"/>
                <w14:textFill>
                  <w14:solidFill>
                    <w14:schemeClr w14:val="tx1"/>
                  </w14:solidFill>
                </w14:textFill>
              </w:rPr>
            </w:pPr>
          </w:p>
        </w:tc>
        <w:tc>
          <w:tcPr>
            <w:tcW w:w="1134" w:type="dxa"/>
            <w:noWrap/>
            <w:vAlign w:val="top"/>
          </w:tcPr>
          <w:p w14:paraId="014F89AC">
            <w:pPr>
              <w:outlineLvl w:val="0"/>
              <w:rPr>
                <w:rFonts w:ascii="黑体" w:eastAsia="黑体"/>
                <w:bCs/>
                <w:color w:val="000000" w:themeColor="text1"/>
                <w:sz w:val="24"/>
                <w:szCs w:val="24"/>
                <w:highlight w:val="none"/>
                <w14:textFill>
                  <w14:solidFill>
                    <w14:schemeClr w14:val="tx1"/>
                  </w14:solidFill>
                </w14:textFill>
              </w:rPr>
            </w:pPr>
          </w:p>
        </w:tc>
        <w:tc>
          <w:tcPr>
            <w:tcW w:w="2005" w:type="dxa"/>
            <w:noWrap/>
            <w:vAlign w:val="top"/>
          </w:tcPr>
          <w:p w14:paraId="197A0B1F">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ign w:val="top"/>
          </w:tcPr>
          <w:p w14:paraId="233BD165">
            <w:pPr>
              <w:outlineLvl w:val="0"/>
              <w:rPr>
                <w:rFonts w:ascii="黑体" w:eastAsia="黑体"/>
                <w:bCs/>
                <w:color w:val="000000" w:themeColor="text1"/>
                <w:sz w:val="24"/>
                <w:szCs w:val="24"/>
                <w:highlight w:val="none"/>
                <w14:textFill>
                  <w14:solidFill>
                    <w14:schemeClr w14:val="tx1"/>
                  </w14:solidFill>
                </w14:textFill>
              </w:rPr>
            </w:pPr>
          </w:p>
        </w:tc>
      </w:tr>
    </w:tbl>
    <w:p w14:paraId="2DDEB62E">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供应商名称（盖章）</w:t>
      </w:r>
    </w:p>
    <w:p w14:paraId="5F8046FB">
      <w:pPr>
        <w:rPr>
          <w:rFonts w:ascii="宋体" w:hAnsi="宋体"/>
          <w:bCs/>
          <w:color w:val="000000" w:themeColor="text1"/>
          <w:highlight w:val="none"/>
          <w14:textFill>
            <w14:solidFill>
              <w14:schemeClr w14:val="tx1"/>
            </w14:solidFill>
          </w14:textFill>
        </w:rPr>
      </w:pPr>
    </w:p>
    <w:p w14:paraId="2913AF22">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注：1. 表格不够可自行延长。</w:t>
      </w:r>
    </w:p>
    <w:p w14:paraId="5D8DDA47">
      <w:pPr>
        <w:ind w:firstLine="42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2.上表内容须提供供应商近三个月（不含磋商当月）中任意一个月份经社保部门确认的社保缴纳名单复印件（标注各人员所处位置）和相关证书扫描件作为填列证明材料，证明材料请附在本表之后。</w:t>
      </w:r>
    </w:p>
    <w:p w14:paraId="28B563D3">
      <w:pPr>
        <w:spacing w:line="360" w:lineRule="auto"/>
        <w:ind w:left="465"/>
        <w:jc w:val="center"/>
        <w:rPr>
          <w:rFonts w:hint="eastAsia" w:ascii="宋体" w:hAnsi="宋体"/>
          <w:b/>
          <w:bCs/>
          <w:color w:val="000000" w:themeColor="text1"/>
          <w:sz w:val="44"/>
          <w:szCs w:val="44"/>
          <w:highlight w:val="none"/>
          <w14:textFill>
            <w14:solidFill>
              <w14:schemeClr w14:val="tx1"/>
            </w14:solidFill>
          </w14:textFill>
        </w:rPr>
      </w:pPr>
    </w:p>
    <w:sectPr>
      <w:headerReference r:id="rId7" w:type="default"/>
      <w:footerReference r:id="rId8" w:type="default"/>
      <w:pgSz w:w="11906" w:h="16838"/>
      <w:pgMar w:top="1440" w:right="1416" w:bottom="1440" w:left="144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8A3A6BE-CE89-4FB8-9A9F-0D40F85BC8E2}"/>
  </w:font>
  <w:font w:name="黑体">
    <w:panose1 w:val="02010609060101010101"/>
    <w:charset w:val="86"/>
    <w:family w:val="auto"/>
    <w:pitch w:val="default"/>
    <w:sig w:usb0="800002BF" w:usb1="38CF7CFA" w:usb2="00000016" w:usb3="00000000" w:csb0="00040001" w:csb1="00000000"/>
    <w:embedRegular r:id="rId2" w:fontKey="{5A793C66-FC9C-4122-A601-37D117711BA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7CDED86-C1A1-41C6-A282-8E7DB8F5CC07}"/>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auto"/>
    <w:pitch w:val="default"/>
    <w:sig w:usb0="00000287" w:usb1="00000000" w:usb2="00000000" w:usb3="00000000" w:csb0="0000009F" w:csb1="DFD70000"/>
  </w:font>
  <w:font w:name="新宋体">
    <w:panose1 w:val="02010609030101010101"/>
    <w:charset w:val="86"/>
    <w:family w:val="auto"/>
    <w:pitch w:val="default"/>
    <w:sig w:usb0="0000028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ˎ̥">
    <w:altName w:val="Times New Roman"/>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embedRegular r:id="rId4" w:fontKey="{74D22F33-F759-4B1A-BAFA-DEAAD3B2E765}"/>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隶书">
    <w:panose1 w:val="02010509060101010101"/>
    <w:charset w:val="86"/>
    <w:family w:val="auto"/>
    <w:pitch w:val="default"/>
    <w:sig w:usb0="00000001" w:usb1="080E0000" w:usb2="00000000" w:usb3="00000000" w:csb0="00040000" w:csb1="00000000"/>
  </w:font>
  <w:font w:name="文鼎CS中宋">
    <w:altName w:val="宋体"/>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5" w:fontKey="{E35F2BEF-5F1C-48E3-8EA7-F5F47C7BC39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A52E2">
    <w:pPr>
      <w:pStyle w:val="25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0A00F649">
                          <w:pPr>
                            <w:rPr>
                              <w:sz w:val="18"/>
                            </w:rPr>
                          </w:pPr>
                        </w:p>
                        <w:p w14:paraId="6497483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PlfknQAAAAAwEAAA8AAAAAAAAAAQAgAAAAIgAA&#10;AGRycy9kb3ducmV2LnhtbFBLAQIUABQAAAAIAIdO4kCkGIfo1wEAAKUDAAAOAAAAAAAAAAEAIAAA&#10;AB8BAABkcnMvZTJvRG9jLnhtbFBLBQYAAAAABgAGAFkBAABoBQAAAAA=&#10;">
              <v:fill on="f" focussize="0,0"/>
              <v:stroke on="f"/>
              <v:imagedata o:title=""/>
              <o:lock v:ext="edit" aspectratio="f"/>
              <v:textbox inset="0mm,0mm,0mm,0mm" style="mso-fit-shape-to-text:t;">
                <w:txbxContent>
                  <w:p w14:paraId="0A00F649">
                    <w:pPr>
                      <w:rPr>
                        <w:sz w:val="18"/>
                      </w:rPr>
                    </w:pPr>
                  </w:p>
                  <w:p w14:paraId="6497483A"/>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C1685">
    <w:pPr>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67310" cy="153035"/>
                      </a:xfrm>
                      <a:prstGeom prst="rect">
                        <a:avLst/>
                      </a:prstGeom>
                      <a:noFill/>
                      <a:ln>
                        <a:noFill/>
                      </a:ln>
                    </wps:spPr>
                    <wps:txbx>
                      <w:txbxContent>
                        <w:p w14:paraId="2EBC1F25"/>
                        <w:p w14:paraId="18CCB22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erNUXQAAAAAwEAAA8AAAAAAAAAAQAgAAAAIgAA&#10;AGRycy9kb3ducmV2LnhtbFBLAQIUABQAAAAIAIdO4kA++nZ71wEAAKQDAAAOAAAAAAAAAAEAIAAA&#10;AB8BAABkcnMvZTJvRG9jLnhtbFBLBQYAAAAABgAGAFkBAABoBQAAAAA=&#10;">
              <v:fill on="f" focussize="0,0"/>
              <v:stroke on="f"/>
              <v:imagedata o:title=""/>
              <o:lock v:ext="edit" aspectratio="f"/>
              <v:textbox inset="0mm,0mm,0mm,0mm" style="mso-fit-shape-to-text:t;">
                <w:txbxContent>
                  <w:p w14:paraId="2EBC1F25"/>
                  <w:p w14:paraId="18CCB22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29A00">
    <w:pPr>
      <w:pStyle w:val="25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9705" cy="11620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79705" cy="116205"/>
                      </a:xfrm>
                      <a:prstGeom prst="rect">
                        <a:avLst/>
                      </a:prstGeom>
                      <a:noFill/>
                      <a:ln>
                        <a:noFill/>
                      </a:ln>
                    </wps:spPr>
                    <wps:txbx>
                      <w:txbxContent>
                        <w:p w14:paraId="44DDA213">
                          <w:pPr>
                            <w:pStyle w:val="253"/>
                          </w:pPr>
                          <w:r>
                            <w:fldChar w:fldCharType="begin"/>
                          </w:r>
                          <w:r>
                            <w:instrText xml:space="preserve"> PAGE  \* MERGEFORMAT </w:instrText>
                          </w:r>
                          <w:r>
                            <w:fldChar w:fldCharType="separate"/>
                          </w:r>
                          <w:r>
                            <w:t>2</w:t>
                          </w:r>
                          <w:r>
                            <w:fldChar w:fldCharType="end"/>
                          </w:r>
                        </w:p>
                        <w:p w14:paraId="5D5580A3"/>
                      </w:txbxContent>
                    </wps:txbx>
                    <wps:bodyPr wrap="square" lIns="0" tIns="0" rIns="0" bIns="0" upright="1"/>
                  </wps:wsp>
                </a:graphicData>
              </a:graphic>
            </wp:anchor>
          </w:drawing>
        </mc:Choice>
        <mc:Fallback>
          <w:pict>
            <v:shape id="_x0000_s1026" o:spid="_x0000_s1026" o:spt="202" type="#_x0000_t202" style="position:absolute;left:0pt;margin-top:0pt;height:9.15pt;width:14.15pt;mso-position-horizontal:center;mso-position-horizontal-relative:margin;z-index:251659264;mso-width-relative:page;mso-height-relative:page;" filled="f" stroked="f" coordsize="21600,21600" o:gfxdata="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SLce/TAAAAAwEAAA8AAAAAAAAAAQAgAAAAIgAAAGRycy9k&#10;b3ducmV2LnhtbFBLAQIUABQAAAAIAIdO4kDiKWv2zgEAAI0DAAAOAAAAAAAAAAEAIAAAACIBAABk&#10;cnMvZTJvRG9jLnhtbFBLBQYAAAAABgAGAFkBAABiBQAAAAA=&#10;">
              <v:fill on="f" focussize="0,0"/>
              <v:stroke on="f"/>
              <v:imagedata o:title=""/>
              <o:lock v:ext="edit" aspectratio="f"/>
              <v:textbox inset="0mm,0mm,0mm,0mm">
                <w:txbxContent>
                  <w:p w14:paraId="44DDA213">
                    <w:pPr>
                      <w:pStyle w:val="253"/>
                    </w:pPr>
                    <w:r>
                      <w:fldChar w:fldCharType="begin"/>
                    </w:r>
                    <w:r>
                      <w:instrText xml:space="preserve"> PAGE  \* MERGEFORMAT </w:instrText>
                    </w:r>
                    <w:r>
                      <w:fldChar w:fldCharType="separate"/>
                    </w:r>
                    <w:r>
                      <w:t>2</w:t>
                    </w:r>
                    <w:r>
                      <w:fldChar w:fldCharType="end"/>
                    </w:r>
                  </w:p>
                  <w:p w14:paraId="5D5580A3"/>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2CB29D97">
                          <w:pPr>
                            <w:rPr>
                              <w:sz w:val="18"/>
                            </w:rPr>
                          </w:pPr>
                        </w:p>
                        <w:p w14:paraId="2323841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Q+V+SdAAAAADAQAADwAAAAAAAAABACAAAAAi&#10;AAAAZHJzL2Rvd25yZXYueG1sUEsBAhQAFAAAAAgAh07iQMKnqe7ZAQAApQMAAA4AAAAAAAAAAQAg&#10;AAAAHwEAAGRycy9lMm9Eb2MueG1sUEsFBgAAAAAGAAYAWQEAAGoFAAAAAA==&#10;">
              <v:fill on="f" focussize="0,0"/>
              <v:stroke on="f"/>
              <v:imagedata o:title=""/>
              <o:lock v:ext="edit" aspectratio="f"/>
              <v:textbox inset="0mm,0mm,0mm,0mm" style="mso-fit-shape-to-text:t;">
                <w:txbxContent>
                  <w:p w14:paraId="2CB29D97">
                    <w:pPr>
                      <w:rPr>
                        <w:sz w:val="18"/>
                      </w:rPr>
                    </w:pPr>
                  </w:p>
                  <w:p w14:paraId="2323841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66669">
    <w:pPr>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4615329">
                          <w:pPr>
                            <w:pStyle w:val="253"/>
                          </w:pPr>
                          <w:r>
                            <w:fldChar w:fldCharType="begin"/>
                          </w:r>
                          <w:r>
                            <w:instrText xml:space="preserve"> PAGE  \* MERGEFORMAT </w:instrText>
                          </w:r>
                          <w:r>
                            <w:fldChar w:fldCharType="separate"/>
                          </w:r>
                          <w:r>
                            <w:t>1</w:t>
                          </w:r>
                          <w:r>
                            <w:fldChar w:fldCharType="end"/>
                          </w:r>
                        </w:p>
                        <w:p w14:paraId="3B33FC6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34615329">
                    <w:pPr>
                      <w:pStyle w:val="253"/>
                    </w:pPr>
                    <w:r>
                      <w:fldChar w:fldCharType="begin"/>
                    </w:r>
                    <w:r>
                      <w:instrText xml:space="preserve"> PAGE  \* MERGEFORMAT </w:instrText>
                    </w:r>
                    <w:r>
                      <w:fldChar w:fldCharType="separate"/>
                    </w:r>
                    <w:r>
                      <w:t>1</w:t>
                    </w:r>
                    <w:r>
                      <w:fldChar w:fldCharType="end"/>
                    </w:r>
                  </w:p>
                  <w:p w14:paraId="3B33FC60"/>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67310" cy="153035"/>
                      </a:xfrm>
                      <a:prstGeom prst="rect">
                        <a:avLst/>
                      </a:prstGeom>
                      <a:noFill/>
                      <a:ln>
                        <a:noFill/>
                      </a:ln>
                    </wps:spPr>
                    <wps:txbx>
                      <w:txbxContent>
                        <w:p w14:paraId="339BE90A"/>
                        <w:p w14:paraId="7491906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erNUXQAAAAAwEAAA8AAAAAAAAAAQAgAAAAIgAA&#10;AGRycy9kb3ducmV2LnhtbFBLAQIUABQAAAAIAIdO4kAQZ0sV1wEAAKQDAAAOAAAAAAAAAAEAIAAA&#10;AB8BAABkcnMvZTJvRG9jLnhtbFBLBQYAAAAABgAGAFkBAABoBQAAAAA=&#10;">
              <v:fill on="f" focussize="0,0"/>
              <v:stroke on="f"/>
              <v:imagedata o:title=""/>
              <o:lock v:ext="edit" aspectratio="f"/>
              <v:textbox inset="0mm,0mm,0mm,0mm" style="mso-fit-shape-to-text:t;">
                <w:txbxContent>
                  <w:p w14:paraId="339BE90A"/>
                  <w:p w14:paraId="7491906B"/>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640F2">
    <w:pPr>
      <w:pStyle w:val="253"/>
      <w:jc w:val="center"/>
    </w:pPr>
  </w:p>
  <w:p w14:paraId="5A9F40D0">
    <w:pPr>
      <w:pStyle w:val="25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90500" cy="131445"/>
                      </a:xfrm>
                      <a:prstGeom prst="rect">
                        <a:avLst/>
                      </a:prstGeom>
                      <a:noFill/>
                      <a:ln>
                        <a:noFill/>
                      </a:ln>
                    </wps:spPr>
                    <wps:txbx>
                      <w:txbxContent>
                        <w:p w14:paraId="7E495BC5">
                          <w:pPr>
                            <w:pStyle w:val="253"/>
                            <w:jc w:val="center"/>
                            <w:rPr>
                              <w:sz w:val="21"/>
                              <w:szCs w:val="21"/>
                            </w:rPr>
                          </w:pPr>
                          <w:r>
                            <w:rPr>
                              <w:rFonts w:hint="eastAsia"/>
                              <w:sz w:val="21"/>
                              <w:szCs w:val="21"/>
                            </w:rPr>
                            <w:t>-</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32</w:t>
                          </w:r>
                          <w:r>
                            <w:rPr>
                              <w:sz w:val="21"/>
                              <w:szCs w:val="21"/>
                            </w:rPr>
                            <w:fldChar w:fldCharType="end"/>
                          </w:r>
                          <w:r>
                            <w:rPr>
                              <w:rFonts w:hint="eastAsia"/>
                              <w:sz w:val="21"/>
                              <w:szCs w:val="21"/>
                            </w:rPr>
                            <w:t>-</w:t>
                          </w:r>
                        </w:p>
                        <w:p w14:paraId="17E3E26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ipFLs0AAAAAMBAAAPAAAAAAAAAAEAIAAAACIA&#10;AABkcnMvZG93bnJldi54bWxQSwECFAAUAAAACACHTuJAh6eBL9gBAAClAwAADgAAAAAAAAABACAA&#10;AAAfAQAAZHJzL2Uyb0RvYy54bWxQSwUGAAAAAAYABgBZAQAAaQUAAAAA&#10;">
              <v:fill on="f" focussize="0,0"/>
              <v:stroke on="f"/>
              <v:imagedata o:title=""/>
              <o:lock v:ext="edit" aspectratio="f"/>
              <v:textbox inset="0mm,0mm,0mm,0mm" style="mso-fit-shape-to-text:t;">
                <w:txbxContent>
                  <w:p w14:paraId="7E495BC5">
                    <w:pPr>
                      <w:pStyle w:val="253"/>
                      <w:jc w:val="center"/>
                      <w:rPr>
                        <w:sz w:val="21"/>
                        <w:szCs w:val="21"/>
                      </w:rPr>
                    </w:pPr>
                    <w:r>
                      <w:rPr>
                        <w:rFonts w:hint="eastAsia"/>
                        <w:sz w:val="21"/>
                        <w:szCs w:val="21"/>
                      </w:rPr>
                      <w:t>-</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32</w:t>
                    </w:r>
                    <w:r>
                      <w:rPr>
                        <w:sz w:val="21"/>
                        <w:szCs w:val="21"/>
                      </w:rPr>
                      <w:fldChar w:fldCharType="end"/>
                    </w:r>
                    <w:r>
                      <w:rPr>
                        <w:rFonts w:hint="eastAsia"/>
                        <w:sz w:val="21"/>
                        <w:szCs w:val="21"/>
                      </w:rPr>
                      <w:t>-</w:t>
                    </w:r>
                  </w:p>
                  <w:p w14:paraId="17E3E26D"/>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BDA96">
    <w:pPr>
      <w:pStyle w:val="255"/>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146C22"/>
    <w:multiLevelType w:val="singleLevel"/>
    <w:tmpl w:val="E8146C22"/>
    <w:lvl w:ilvl="0" w:tentative="0">
      <w:start w:val="1"/>
      <w:numFmt w:val="decimal"/>
      <w:lvlText w:val="%1."/>
      <w:lvlJc w:val="left"/>
      <w:pPr>
        <w:tabs>
          <w:tab w:val="left" w:pos="312"/>
        </w:tabs>
      </w:pPr>
    </w:lvl>
  </w:abstractNum>
  <w:abstractNum w:abstractNumId="1">
    <w:nsid w:val="0053208E"/>
    <w:multiLevelType w:val="multilevel"/>
    <w:tmpl w:val="0053208E"/>
    <w:lvl w:ilvl="0" w:tentative="0">
      <w:start w:val="1"/>
      <w:numFmt w:val="bullet"/>
      <w:pStyle w:val="25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0F914FC4"/>
    <w:multiLevelType w:val="multilevel"/>
    <w:tmpl w:val="0F914FC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09A5DAE"/>
    <w:multiLevelType w:val="multilevel"/>
    <w:tmpl w:val="209A5DA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7522255"/>
    <w:multiLevelType w:val="multilevel"/>
    <w:tmpl w:val="2752225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2C3A6EB6"/>
    <w:multiLevelType w:val="multilevel"/>
    <w:tmpl w:val="2C3A6EB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5899255"/>
    <w:multiLevelType w:val="multilevel"/>
    <w:tmpl w:val="65899255"/>
    <w:lvl w:ilvl="0" w:tentative="0">
      <w:start w:val="1"/>
      <w:numFmt w:val="decimal"/>
      <w:suff w:val="nothing"/>
      <w:lvlText w:val="%1、"/>
      <w:lvlJc w:val="left"/>
    </w:lvl>
    <w:lvl w:ilvl="1" w:tentative="0">
      <w:start w:val="1"/>
      <w:numFmt w:val="lowerLetter"/>
      <w:lvlText w:val="%2)"/>
      <w:lvlJc w:val="left"/>
      <w:pPr>
        <w:ind w:left="1305" w:hanging="420"/>
      </w:pPr>
    </w:lvl>
    <w:lvl w:ilvl="2" w:tentative="0">
      <w:start w:val="1"/>
      <w:numFmt w:val="lowerRoman"/>
      <w:lvlText w:val="%3."/>
      <w:lvlJc w:val="right"/>
      <w:pPr>
        <w:ind w:left="1725" w:hanging="420"/>
      </w:pPr>
    </w:lvl>
    <w:lvl w:ilvl="3" w:tentative="0">
      <w:start w:val="1"/>
      <w:numFmt w:val="decimal"/>
      <w:lvlText w:val="%4."/>
      <w:lvlJc w:val="left"/>
      <w:pPr>
        <w:ind w:left="2145" w:hanging="420"/>
      </w:pPr>
    </w:lvl>
    <w:lvl w:ilvl="4" w:tentative="0">
      <w:start w:val="1"/>
      <w:numFmt w:val="lowerLetter"/>
      <w:lvlText w:val="%5)"/>
      <w:lvlJc w:val="left"/>
      <w:pPr>
        <w:ind w:left="2565" w:hanging="420"/>
      </w:pPr>
    </w:lvl>
    <w:lvl w:ilvl="5" w:tentative="0">
      <w:start w:val="1"/>
      <w:numFmt w:val="lowerRoman"/>
      <w:lvlText w:val="%6."/>
      <w:lvlJc w:val="right"/>
      <w:pPr>
        <w:ind w:left="2985" w:hanging="420"/>
      </w:pPr>
    </w:lvl>
    <w:lvl w:ilvl="6" w:tentative="0">
      <w:start w:val="1"/>
      <w:numFmt w:val="decimal"/>
      <w:lvlText w:val="%7."/>
      <w:lvlJc w:val="left"/>
      <w:pPr>
        <w:ind w:left="3405" w:hanging="420"/>
      </w:pPr>
    </w:lvl>
    <w:lvl w:ilvl="7" w:tentative="0">
      <w:start w:val="1"/>
      <w:numFmt w:val="lowerLetter"/>
      <w:lvlText w:val="%8)"/>
      <w:lvlJc w:val="left"/>
      <w:pPr>
        <w:ind w:left="3825" w:hanging="420"/>
      </w:pPr>
    </w:lvl>
    <w:lvl w:ilvl="8" w:tentative="0">
      <w:start w:val="1"/>
      <w:numFmt w:val="lowerRoman"/>
      <w:lvlText w:val="%9."/>
      <w:lvlJc w:val="right"/>
      <w:pPr>
        <w:ind w:left="4245" w:hanging="420"/>
      </w:pPr>
    </w:lvl>
  </w:abstractNum>
  <w:abstractNum w:abstractNumId="7">
    <w:nsid w:val="77667CB5"/>
    <w:multiLevelType w:val="singleLevel"/>
    <w:tmpl w:val="77667CB5"/>
    <w:lvl w:ilvl="0" w:tentative="0">
      <w:start w:val="2"/>
      <w:numFmt w:val="chineseCounting"/>
      <w:suff w:val="space"/>
      <w:lvlText w:val="第%1部分"/>
      <w:lvlJc w:val="left"/>
      <w:rPr>
        <w:rFonts w:hint="eastAsia"/>
      </w:rPr>
    </w:lvl>
  </w:abstractNum>
  <w:num w:numId="1">
    <w:abstractNumId w:val="1"/>
  </w:num>
  <w:num w:numId="2">
    <w:abstractNumId w:val="7"/>
  </w:num>
  <w:num w:numId="3">
    <w:abstractNumId w:val="3"/>
  </w:num>
  <w:num w:numId="4">
    <w:abstractNumId w:val="5"/>
  </w:num>
  <w:num w:numId="5">
    <w:abstractNumId w:val="2"/>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EF7E35"/>
    <w:rsid w:val="0DB74D77"/>
    <w:rsid w:val="0DFD3A35"/>
    <w:rsid w:val="18E7065A"/>
    <w:rsid w:val="19E0193E"/>
    <w:rsid w:val="1F34201C"/>
    <w:rsid w:val="2099619A"/>
    <w:rsid w:val="20CD5488"/>
    <w:rsid w:val="22C77B63"/>
    <w:rsid w:val="243F7283"/>
    <w:rsid w:val="27DD7BAC"/>
    <w:rsid w:val="2BA344D9"/>
    <w:rsid w:val="2D6D3827"/>
    <w:rsid w:val="2DDD275B"/>
    <w:rsid w:val="36637EBD"/>
    <w:rsid w:val="368B585E"/>
    <w:rsid w:val="39BD7A59"/>
    <w:rsid w:val="3C315549"/>
    <w:rsid w:val="3F1E0E25"/>
    <w:rsid w:val="439A4D34"/>
    <w:rsid w:val="46016235"/>
    <w:rsid w:val="530E18B3"/>
    <w:rsid w:val="531F686F"/>
    <w:rsid w:val="53614E4A"/>
    <w:rsid w:val="546C5790"/>
    <w:rsid w:val="5536759F"/>
    <w:rsid w:val="57D25AD2"/>
    <w:rsid w:val="5A111F61"/>
    <w:rsid w:val="5ADD1CE1"/>
    <w:rsid w:val="5AFF190B"/>
    <w:rsid w:val="5C2110EE"/>
    <w:rsid w:val="60AF1486"/>
    <w:rsid w:val="6912522C"/>
    <w:rsid w:val="6CF51D63"/>
    <w:rsid w:val="72D11FC9"/>
    <w:rsid w:val="733338A0"/>
    <w:rsid w:val="7DBE58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8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7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7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7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9"/>
    <w:unhideWhenUsed/>
    <w:qFormat/>
    <w:uiPriority w:val="9"/>
    <w:pPr>
      <w:keepNext/>
      <w:keepLines/>
      <w:spacing w:before="320" w:after="200"/>
      <w:outlineLvl w:val="8"/>
    </w:pPr>
    <w:rPr>
      <w:rFonts w:ascii="Arial" w:hAnsi="Arial" w:eastAsia="Arial" w:cs="Arial"/>
      <w:i/>
      <w:iCs/>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48"/>
    <w:qFormat/>
    <w:uiPriority w:val="0"/>
    <w:pPr>
      <w:widowControl/>
      <w:ind w:firstLine="420"/>
      <w:jc w:val="left"/>
    </w:pPr>
    <w:rPr>
      <w:sz w:val="20"/>
      <w:szCs w:val="20"/>
    </w:rPr>
  </w:style>
  <w:style w:type="paragraph" w:styleId="12">
    <w:name w:val="List 3"/>
    <w:basedOn w:val="1"/>
    <w:qFormat/>
    <w:uiPriority w:val="0"/>
    <w:pPr>
      <w:ind w:left="1260" w:hanging="420"/>
    </w:pPr>
    <w:rPr>
      <w:rFonts w:hAnsi="宋体"/>
      <w:color w:val="000000"/>
      <w:spacing w:val="-8"/>
      <w:szCs w:val="20"/>
    </w:rPr>
  </w:style>
  <w:style w:type="paragraph" w:styleId="13">
    <w:name w:val="toc 7"/>
    <w:basedOn w:val="1"/>
    <w:next w:val="1"/>
    <w:qFormat/>
    <w:uiPriority w:val="0"/>
    <w:pPr>
      <w:spacing w:line="288" w:lineRule="auto"/>
      <w:ind w:left="1260" w:firstLine="420"/>
      <w:jc w:val="left"/>
    </w:pPr>
    <w:rPr>
      <w:sz w:val="18"/>
      <w:szCs w:val="18"/>
    </w:rPr>
  </w:style>
  <w:style w:type="paragraph" w:styleId="14">
    <w:name w:val="index 8"/>
    <w:basedOn w:val="1"/>
    <w:next w:val="1"/>
    <w:qFormat/>
    <w:uiPriority w:val="0"/>
    <w:pPr>
      <w:ind w:left="1400"/>
    </w:pPr>
    <w:rPr>
      <w:szCs w:val="20"/>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qFormat/>
    <w:uiPriority w:val="0"/>
    <w:pPr>
      <w:ind w:left="800"/>
    </w:pPr>
    <w:rPr>
      <w:szCs w:val="20"/>
    </w:rPr>
  </w:style>
  <w:style w:type="paragraph" w:styleId="17">
    <w:name w:val="Document Map"/>
    <w:basedOn w:val="1"/>
    <w:link w:val="299"/>
    <w:qFormat/>
    <w:uiPriority w:val="0"/>
    <w:pPr>
      <w:shd w:val="clear" w:color="auto" w:fill="000080"/>
    </w:pPr>
    <w:rPr>
      <w:rFonts w:ascii="宋体"/>
      <w:sz w:val="18"/>
      <w:szCs w:val="18"/>
    </w:rPr>
  </w:style>
  <w:style w:type="paragraph" w:styleId="18">
    <w:name w:val="annotation text"/>
    <w:basedOn w:val="1"/>
    <w:semiHidden/>
    <w:unhideWhenUsed/>
    <w:qFormat/>
    <w:uiPriority w:val="99"/>
    <w:pPr>
      <w:jc w:val="left"/>
    </w:pPr>
  </w:style>
  <w:style w:type="paragraph" w:styleId="19">
    <w:name w:val="index 6"/>
    <w:basedOn w:val="1"/>
    <w:next w:val="1"/>
    <w:qFormat/>
    <w:uiPriority w:val="0"/>
    <w:pPr>
      <w:ind w:left="1000"/>
    </w:pPr>
    <w:rPr>
      <w:szCs w:val="20"/>
    </w:rPr>
  </w:style>
  <w:style w:type="paragraph" w:styleId="20">
    <w:name w:val="Body Text 3"/>
    <w:basedOn w:val="1"/>
    <w:link w:val="284"/>
    <w:qFormat/>
    <w:uiPriority w:val="0"/>
    <w:pPr>
      <w:spacing w:after="20" w:line="288" w:lineRule="auto"/>
      <w:jc w:val="center"/>
    </w:pPr>
    <w:rPr>
      <w:sz w:val="24"/>
    </w:rPr>
  </w:style>
  <w:style w:type="paragraph" w:styleId="21">
    <w:name w:val="Body Text Indent"/>
    <w:basedOn w:val="1"/>
    <w:link w:val="286"/>
    <w:qFormat/>
    <w:uiPriority w:val="0"/>
    <w:pPr>
      <w:widowControl/>
      <w:spacing w:line="300" w:lineRule="auto"/>
      <w:ind w:left="156"/>
    </w:pPr>
    <w:rPr>
      <w:rFonts w:ascii="仿宋_GB2312" w:eastAsia="仿宋_GB2312"/>
      <w:sz w:val="28"/>
      <w:szCs w:val="20"/>
    </w:rPr>
  </w:style>
  <w:style w:type="paragraph" w:styleId="22">
    <w:name w:val="List 2"/>
    <w:basedOn w:val="1"/>
    <w:qFormat/>
    <w:uiPriority w:val="0"/>
    <w:pPr>
      <w:ind w:left="840" w:hanging="420"/>
    </w:pPr>
    <w:rPr>
      <w:rFonts w:hAnsi="宋体"/>
      <w:color w:val="000000"/>
      <w:spacing w:val="-8"/>
      <w:szCs w:val="20"/>
    </w:rPr>
  </w:style>
  <w:style w:type="paragraph" w:styleId="23">
    <w:name w:val="List Continue"/>
    <w:basedOn w:val="1"/>
    <w:qFormat/>
    <w:uiPriority w:val="0"/>
    <w:pPr>
      <w:spacing w:after="120"/>
      <w:ind w:left="420" w:firstLine="448"/>
    </w:pPr>
    <w:rPr>
      <w:rFonts w:hAnsi="宋体"/>
      <w:color w:val="000000"/>
      <w:spacing w:val="-8"/>
      <w:szCs w:val="20"/>
    </w:rPr>
  </w:style>
  <w:style w:type="paragraph" w:styleId="24">
    <w:name w:val="Block Text"/>
    <w:basedOn w:val="1"/>
    <w:qFormat/>
    <w:uiPriority w:val="0"/>
    <w:pPr>
      <w:ind w:left="420" w:right="33"/>
      <w:jc w:val="left"/>
    </w:pPr>
    <w:rPr>
      <w:sz w:val="24"/>
      <w:szCs w:val="20"/>
    </w:rPr>
  </w:style>
  <w:style w:type="paragraph" w:styleId="25">
    <w:name w:val="index 4"/>
    <w:basedOn w:val="1"/>
    <w:next w:val="1"/>
    <w:qFormat/>
    <w:uiPriority w:val="0"/>
    <w:pPr>
      <w:ind w:left="600"/>
    </w:pPr>
    <w:rPr>
      <w:szCs w:val="20"/>
    </w:rPr>
  </w:style>
  <w:style w:type="paragraph" w:styleId="26">
    <w:name w:val="toc 5"/>
    <w:basedOn w:val="1"/>
    <w:next w:val="1"/>
    <w:qFormat/>
    <w:uiPriority w:val="0"/>
    <w:pPr>
      <w:spacing w:line="288" w:lineRule="auto"/>
      <w:ind w:left="840" w:firstLine="420"/>
      <w:jc w:val="left"/>
    </w:pPr>
    <w:rPr>
      <w:sz w:val="18"/>
      <w:szCs w:val="18"/>
    </w:rPr>
  </w:style>
  <w:style w:type="paragraph" w:styleId="27">
    <w:name w:val="toc 3"/>
    <w:basedOn w:val="1"/>
    <w:next w:val="1"/>
    <w:qFormat/>
    <w:uiPriority w:val="0"/>
    <w:pPr>
      <w:spacing w:line="288" w:lineRule="auto"/>
      <w:ind w:left="420" w:firstLine="420"/>
      <w:jc w:val="left"/>
    </w:pPr>
    <w:rPr>
      <w:iCs/>
      <w:sz w:val="20"/>
      <w:szCs w:val="20"/>
    </w:rPr>
  </w:style>
  <w:style w:type="paragraph" w:styleId="28">
    <w:name w:val="Plain Text"/>
    <w:basedOn w:val="1"/>
    <w:link w:val="314"/>
    <w:qFormat/>
    <w:uiPriority w:val="0"/>
    <w:rPr>
      <w:rFonts w:ascii="宋体" w:hAnsi="Courier New"/>
      <w:szCs w:val="21"/>
    </w:rPr>
  </w:style>
  <w:style w:type="paragraph" w:styleId="29">
    <w:name w:val="toc 8"/>
    <w:basedOn w:val="1"/>
    <w:next w:val="1"/>
    <w:qFormat/>
    <w:uiPriority w:val="0"/>
    <w:pPr>
      <w:spacing w:line="288" w:lineRule="auto"/>
      <w:ind w:left="1470" w:firstLine="420"/>
      <w:jc w:val="left"/>
    </w:pPr>
    <w:rPr>
      <w:sz w:val="18"/>
      <w:szCs w:val="18"/>
    </w:rPr>
  </w:style>
  <w:style w:type="paragraph" w:styleId="30">
    <w:name w:val="index 3"/>
    <w:basedOn w:val="1"/>
    <w:next w:val="1"/>
    <w:qFormat/>
    <w:uiPriority w:val="0"/>
    <w:pPr>
      <w:ind w:left="400"/>
    </w:pPr>
    <w:rPr>
      <w:szCs w:val="20"/>
    </w:rPr>
  </w:style>
  <w:style w:type="paragraph" w:styleId="31">
    <w:name w:val="Body Text Indent 2"/>
    <w:basedOn w:val="1"/>
    <w:link w:val="298"/>
    <w:qFormat/>
    <w:uiPriority w:val="0"/>
    <w:pPr>
      <w:tabs>
        <w:tab w:val="left" w:pos="0"/>
        <w:tab w:val="left" w:pos="1134"/>
      </w:tabs>
      <w:spacing w:line="400" w:lineRule="exact"/>
      <w:ind w:firstLine="559"/>
    </w:pPr>
    <w:rPr>
      <w:rFonts w:ascii="楷体_GB2312" w:eastAsia="楷体_GB2312"/>
      <w:sz w:val="24"/>
    </w:rPr>
  </w:style>
  <w:style w:type="paragraph" w:styleId="32">
    <w:name w:val="endnote text"/>
    <w:basedOn w:val="1"/>
    <w:link w:val="216"/>
    <w:semiHidden/>
    <w:unhideWhenUsed/>
    <w:qFormat/>
    <w:uiPriority w:val="99"/>
    <w:pPr>
      <w:spacing w:after="0" w:line="240" w:lineRule="auto"/>
    </w:pPr>
    <w:rPr>
      <w:sz w:val="20"/>
    </w:rPr>
  </w:style>
  <w:style w:type="paragraph" w:styleId="33">
    <w:name w:val="footer"/>
    <w:basedOn w:val="1"/>
    <w:link w:val="89"/>
    <w:unhideWhenUsed/>
    <w:qFormat/>
    <w:uiPriority w:val="99"/>
    <w:pPr>
      <w:tabs>
        <w:tab w:val="center" w:pos="7143"/>
        <w:tab w:val="right" w:pos="14287"/>
      </w:tabs>
      <w:spacing w:after="0" w:line="240" w:lineRule="auto"/>
    </w:pPr>
  </w:style>
  <w:style w:type="paragraph" w:styleId="34">
    <w:name w:val="header"/>
    <w:basedOn w:val="1"/>
    <w:link w:val="87"/>
    <w:unhideWhenUsed/>
    <w:qFormat/>
    <w:uiPriority w:val="99"/>
    <w:pPr>
      <w:tabs>
        <w:tab w:val="center" w:pos="7143"/>
        <w:tab w:val="right" w:pos="14287"/>
      </w:tabs>
      <w:spacing w:after="0" w:line="240" w:lineRule="auto"/>
    </w:pPr>
  </w:style>
  <w:style w:type="paragraph" w:styleId="35">
    <w:name w:val="toc 1"/>
    <w:basedOn w:val="1"/>
    <w:next w:val="1"/>
    <w:link w:val="257"/>
    <w:qFormat/>
    <w:uiPriority w:val="0"/>
    <w:pPr>
      <w:tabs>
        <w:tab w:val="right" w:leader="dot" w:pos="8296"/>
      </w:tabs>
      <w:spacing w:before="120" w:after="120" w:line="288" w:lineRule="auto"/>
    </w:pPr>
    <w:rPr>
      <w:rFonts w:ascii="黑体" w:hAnsi="宋体" w:eastAsia="黑体"/>
      <w:caps/>
      <w:sz w:val="30"/>
      <w:szCs w:val="30"/>
    </w:rPr>
  </w:style>
  <w:style w:type="paragraph" w:styleId="36">
    <w:name w:val="toc 4"/>
    <w:basedOn w:val="1"/>
    <w:next w:val="1"/>
    <w:qFormat/>
    <w:uiPriority w:val="0"/>
    <w:pPr>
      <w:spacing w:line="288" w:lineRule="auto"/>
      <w:ind w:left="630" w:firstLine="420"/>
      <w:jc w:val="left"/>
    </w:pPr>
    <w:rPr>
      <w:sz w:val="18"/>
      <w:szCs w:val="18"/>
    </w:rPr>
  </w:style>
  <w:style w:type="paragraph" w:styleId="37">
    <w:name w:val="Subtitle"/>
    <w:basedOn w:val="1"/>
    <w:next w:val="1"/>
    <w:link w:val="82"/>
    <w:qFormat/>
    <w:uiPriority w:val="11"/>
    <w:pPr>
      <w:spacing w:before="200" w:after="200"/>
    </w:pPr>
    <w:rPr>
      <w:sz w:val="24"/>
      <w:szCs w:val="24"/>
    </w:rPr>
  </w:style>
  <w:style w:type="paragraph" w:styleId="38">
    <w:name w:val="footnote text"/>
    <w:basedOn w:val="1"/>
    <w:link w:val="215"/>
    <w:semiHidden/>
    <w:unhideWhenUsed/>
    <w:qFormat/>
    <w:uiPriority w:val="99"/>
    <w:pPr>
      <w:spacing w:after="40" w:line="240" w:lineRule="auto"/>
    </w:pPr>
    <w:rPr>
      <w:sz w:val="18"/>
    </w:rPr>
  </w:style>
  <w:style w:type="paragraph" w:styleId="39">
    <w:name w:val="toc 6"/>
    <w:basedOn w:val="1"/>
    <w:next w:val="1"/>
    <w:qFormat/>
    <w:uiPriority w:val="0"/>
    <w:pPr>
      <w:spacing w:line="288" w:lineRule="auto"/>
      <w:ind w:left="1050" w:firstLine="420"/>
      <w:jc w:val="left"/>
    </w:pPr>
    <w:rPr>
      <w:sz w:val="18"/>
      <w:szCs w:val="18"/>
    </w:rPr>
  </w:style>
  <w:style w:type="paragraph" w:styleId="40">
    <w:name w:val="List 5"/>
    <w:basedOn w:val="1"/>
    <w:qFormat/>
    <w:uiPriority w:val="0"/>
    <w:pPr>
      <w:ind w:left="2100" w:hanging="420"/>
    </w:pPr>
    <w:rPr>
      <w:rFonts w:hAnsi="宋体"/>
      <w:color w:val="000000"/>
      <w:spacing w:val="-8"/>
      <w:szCs w:val="20"/>
    </w:rPr>
  </w:style>
  <w:style w:type="paragraph" w:styleId="41">
    <w:name w:val="Body Text Indent 3"/>
    <w:basedOn w:val="1"/>
    <w:link w:val="317"/>
    <w:qFormat/>
    <w:uiPriority w:val="0"/>
    <w:pPr>
      <w:spacing w:line="360" w:lineRule="auto"/>
      <w:ind w:firstLine="698"/>
      <w:jc w:val="left"/>
    </w:pPr>
    <w:rPr>
      <w:rFonts w:ascii="仿宋_GB2312" w:eastAsia="仿宋_GB2312"/>
      <w:sz w:val="32"/>
      <w:szCs w:val="20"/>
    </w:rPr>
  </w:style>
  <w:style w:type="paragraph" w:styleId="42">
    <w:name w:val="index 7"/>
    <w:basedOn w:val="1"/>
    <w:next w:val="1"/>
    <w:qFormat/>
    <w:uiPriority w:val="0"/>
    <w:pPr>
      <w:ind w:left="1200"/>
    </w:pPr>
    <w:rPr>
      <w:szCs w:val="20"/>
    </w:rPr>
  </w:style>
  <w:style w:type="paragraph" w:styleId="43">
    <w:name w:val="index 9"/>
    <w:basedOn w:val="1"/>
    <w:next w:val="1"/>
    <w:qFormat/>
    <w:uiPriority w:val="0"/>
    <w:pPr>
      <w:ind w:left="1600"/>
    </w:pPr>
    <w:rPr>
      <w:szCs w:val="20"/>
    </w:rPr>
  </w:style>
  <w:style w:type="paragraph" w:styleId="44">
    <w:name w:val="table of figures"/>
    <w:basedOn w:val="1"/>
    <w:next w:val="1"/>
    <w:unhideWhenUsed/>
    <w:qFormat/>
    <w:uiPriority w:val="99"/>
    <w:pPr>
      <w:spacing w:after="0" w:afterAutospacing="0"/>
    </w:pPr>
  </w:style>
  <w:style w:type="paragraph" w:styleId="45">
    <w:name w:val="toc 2"/>
    <w:basedOn w:val="1"/>
    <w:next w:val="1"/>
    <w:qFormat/>
    <w:uiPriority w:val="0"/>
    <w:pPr>
      <w:spacing w:line="288" w:lineRule="auto"/>
      <w:ind w:left="210" w:firstLine="420"/>
      <w:jc w:val="left"/>
    </w:pPr>
    <w:rPr>
      <w:smallCaps/>
      <w:sz w:val="20"/>
      <w:szCs w:val="20"/>
    </w:rPr>
  </w:style>
  <w:style w:type="paragraph" w:styleId="46">
    <w:name w:val="toc 9"/>
    <w:basedOn w:val="1"/>
    <w:next w:val="1"/>
    <w:qFormat/>
    <w:uiPriority w:val="0"/>
    <w:pPr>
      <w:spacing w:line="288" w:lineRule="auto"/>
      <w:ind w:left="1680" w:firstLine="420"/>
      <w:jc w:val="left"/>
    </w:pPr>
    <w:rPr>
      <w:sz w:val="18"/>
      <w:szCs w:val="18"/>
    </w:rPr>
  </w:style>
  <w:style w:type="paragraph" w:styleId="47">
    <w:name w:val="Body Text 2"/>
    <w:basedOn w:val="1"/>
    <w:link w:val="325"/>
    <w:qFormat/>
    <w:uiPriority w:val="0"/>
    <w:pPr>
      <w:spacing w:after="20" w:line="720" w:lineRule="auto"/>
      <w:ind w:firstLine="420"/>
    </w:pPr>
    <w:rPr>
      <w:sz w:val="30"/>
    </w:rPr>
  </w:style>
  <w:style w:type="paragraph" w:styleId="48">
    <w:name w:val="List 4"/>
    <w:basedOn w:val="1"/>
    <w:qFormat/>
    <w:uiPriority w:val="0"/>
    <w:pPr>
      <w:ind w:left="1680" w:hanging="420"/>
    </w:pPr>
    <w:rPr>
      <w:rFonts w:hAnsi="宋体"/>
      <w:color w:val="000000"/>
      <w:spacing w:val="-8"/>
      <w:szCs w:val="20"/>
    </w:rPr>
  </w:style>
  <w:style w:type="paragraph" w:styleId="49">
    <w:name w:val="List Continue 2"/>
    <w:basedOn w:val="1"/>
    <w:qFormat/>
    <w:uiPriority w:val="0"/>
    <w:pPr>
      <w:spacing w:after="120"/>
      <w:ind w:left="840" w:firstLine="448"/>
    </w:pPr>
    <w:rPr>
      <w:rFonts w:hAnsi="宋体"/>
      <w:color w:val="000000"/>
      <w:spacing w:val="-8"/>
      <w:szCs w:val="20"/>
    </w:rPr>
  </w:style>
  <w:style w:type="paragraph" w:styleId="50">
    <w:name w:val="Message Header"/>
    <w:basedOn w:val="51"/>
    <w:link w:val="331"/>
    <w:qFormat/>
    <w:uiPriority w:val="0"/>
    <w:pPr>
      <w:keepLines/>
      <w:widowControl/>
      <w:spacing w:after="40" w:line="140" w:lineRule="atLeast"/>
      <w:ind w:left="360" w:firstLine="448"/>
      <w:jc w:val="left"/>
    </w:pPr>
    <w:rPr>
      <w:rFonts w:ascii="Garamond" w:hAnsi="Garamond" w:eastAsia="宋体"/>
      <w:color w:val="000000"/>
      <w:spacing w:val="-8"/>
      <w:sz w:val="18"/>
    </w:rPr>
  </w:style>
  <w:style w:type="paragraph" w:customStyle="1" w:styleId="51">
    <w:name w:val="正文文本1"/>
    <w:basedOn w:val="1"/>
    <w:next w:val="1"/>
    <w:link w:val="244"/>
    <w:qFormat/>
    <w:uiPriority w:val="0"/>
    <w:rPr>
      <w:rFonts w:ascii="楷体_GB2312" w:hAnsi="Arial" w:eastAsia="楷体_GB2312"/>
      <w:sz w:val="28"/>
      <w:szCs w:val="28"/>
    </w:rPr>
  </w:style>
  <w:style w:type="paragraph" w:styleId="52">
    <w:name w:val="HTML Preformatted"/>
    <w:basedOn w:val="1"/>
    <w:link w:val="32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3">
    <w:name w:val="Normal (Web)"/>
    <w:basedOn w:val="1"/>
    <w:link w:val="301"/>
    <w:qFormat/>
    <w:uiPriority w:val="0"/>
    <w:pPr>
      <w:widowControl/>
      <w:spacing w:before="100" w:beforeAutospacing="1" w:after="100" w:afterAutospacing="1" w:line="288" w:lineRule="auto"/>
      <w:ind w:firstLine="420"/>
      <w:jc w:val="left"/>
    </w:pPr>
    <w:rPr>
      <w:rFonts w:ascii="宋体" w:hAnsi="宋体"/>
      <w:sz w:val="24"/>
    </w:rPr>
  </w:style>
  <w:style w:type="paragraph" w:styleId="54">
    <w:name w:val="List Continue 3"/>
    <w:basedOn w:val="1"/>
    <w:qFormat/>
    <w:uiPriority w:val="0"/>
    <w:pPr>
      <w:spacing w:after="120"/>
      <w:ind w:left="1260" w:firstLine="448"/>
    </w:pPr>
    <w:rPr>
      <w:rFonts w:hAnsi="宋体"/>
      <w:color w:val="000000"/>
      <w:spacing w:val="-8"/>
      <w:szCs w:val="20"/>
    </w:rPr>
  </w:style>
  <w:style w:type="paragraph" w:styleId="55">
    <w:name w:val="index 1"/>
    <w:basedOn w:val="1"/>
    <w:next w:val="1"/>
    <w:qFormat/>
    <w:uiPriority w:val="0"/>
    <w:rPr>
      <w:szCs w:val="20"/>
    </w:rPr>
  </w:style>
  <w:style w:type="paragraph" w:styleId="56">
    <w:name w:val="index 2"/>
    <w:basedOn w:val="1"/>
    <w:next w:val="1"/>
    <w:qFormat/>
    <w:uiPriority w:val="0"/>
    <w:pPr>
      <w:ind w:left="200"/>
    </w:pPr>
    <w:rPr>
      <w:szCs w:val="20"/>
    </w:rPr>
  </w:style>
  <w:style w:type="paragraph" w:styleId="57">
    <w:name w:val="Title"/>
    <w:basedOn w:val="1"/>
    <w:next w:val="1"/>
    <w:link w:val="81"/>
    <w:qFormat/>
    <w:uiPriority w:val="10"/>
    <w:pPr>
      <w:spacing w:before="300" w:after="200"/>
      <w:contextualSpacing/>
    </w:pPr>
    <w:rPr>
      <w:sz w:val="48"/>
      <w:szCs w:val="48"/>
    </w:rPr>
  </w:style>
  <w:style w:type="paragraph" w:styleId="58">
    <w:name w:val="annotation subject"/>
    <w:basedOn w:val="59"/>
    <w:next w:val="59"/>
    <w:link w:val="305"/>
    <w:qFormat/>
    <w:uiPriority w:val="0"/>
    <w:rPr>
      <w:b/>
      <w:bCs/>
    </w:rPr>
  </w:style>
  <w:style w:type="paragraph" w:customStyle="1" w:styleId="59">
    <w:name w:val="批注文字1"/>
    <w:basedOn w:val="1"/>
    <w:link w:val="243"/>
    <w:qFormat/>
    <w:uiPriority w:val="0"/>
    <w:pPr>
      <w:jc w:val="left"/>
    </w:pPr>
  </w:style>
  <w:style w:type="paragraph" w:styleId="60">
    <w:name w:val="Body Text First Indent"/>
    <w:basedOn w:val="51"/>
    <w:link w:val="294"/>
    <w:qFormat/>
    <w:uiPriority w:val="0"/>
    <w:pPr>
      <w:spacing w:after="120"/>
      <w:ind w:firstLine="420"/>
    </w:pPr>
    <w:rPr>
      <w:rFonts w:ascii="仿宋_GB2312" w:hAnsi="Times New Roman" w:eastAsia="仿宋_GB2312"/>
      <w:color w:val="000000"/>
      <w:spacing w:val="-8"/>
      <w:sz w:val="21"/>
      <w:szCs w:val="20"/>
    </w:rPr>
  </w:style>
  <w:style w:type="paragraph" w:styleId="61">
    <w:name w:val="Body Text First Indent 2"/>
    <w:basedOn w:val="21"/>
    <w:link w:val="285"/>
    <w:qFormat/>
    <w:uiPriority w:val="0"/>
    <w:pPr>
      <w:widowControl w:val="0"/>
      <w:spacing w:after="120" w:line="240" w:lineRule="auto"/>
      <w:ind w:left="0" w:firstLine="210"/>
    </w:pPr>
    <w:rPr>
      <w:rFonts w:ascii="Times New Roman" w:hAnsi="宋体" w:eastAsia="宋体"/>
      <w:color w:val="000000"/>
      <w:spacing w:val="-8"/>
      <w:sz w:val="21"/>
      <w:szCs w:val="24"/>
    </w:rPr>
  </w:style>
  <w:style w:type="table" w:styleId="6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5">
    <w:name w:val="endnote reference"/>
    <w:semiHidden/>
    <w:unhideWhenUsed/>
    <w:qFormat/>
    <w:uiPriority w:val="99"/>
    <w:rPr>
      <w:vertAlign w:val="superscript"/>
    </w:rPr>
  </w:style>
  <w:style w:type="character" w:styleId="66">
    <w:name w:val="page number"/>
    <w:link w:val="1"/>
    <w:qFormat/>
    <w:uiPriority w:val="0"/>
    <w:rPr>
      <w:rFonts w:ascii="Times New Roman" w:hAnsi="Times New Roman" w:eastAsia="宋体" w:cs="Times New Roman"/>
    </w:rPr>
  </w:style>
  <w:style w:type="character" w:styleId="67">
    <w:name w:val="HTML Typewriter"/>
    <w:link w:val="1"/>
    <w:qFormat/>
    <w:uiPriority w:val="0"/>
    <w:rPr>
      <w:rFonts w:ascii="宋体" w:hAnsi="宋体" w:eastAsia="宋体" w:cs="宋体"/>
      <w:sz w:val="24"/>
      <w:szCs w:val="24"/>
    </w:rPr>
  </w:style>
  <w:style w:type="character" w:styleId="68">
    <w:name w:val="Hyperlink"/>
    <w:unhideWhenUsed/>
    <w:qFormat/>
    <w:uiPriority w:val="99"/>
    <w:rPr>
      <w:color w:val="0000FF" w:themeColor="hyperlink"/>
      <w:u w:val="single"/>
      <w14:textFill>
        <w14:solidFill>
          <w14:schemeClr w14:val="hlink"/>
        </w14:solidFill>
      </w14:textFill>
    </w:rPr>
  </w:style>
  <w:style w:type="character" w:styleId="69">
    <w:name w:val="annotation reference"/>
    <w:link w:val="1"/>
    <w:qFormat/>
    <w:uiPriority w:val="0"/>
    <w:rPr>
      <w:rFonts w:ascii="Times New Roman" w:hAnsi="Times New Roman" w:eastAsia="宋体" w:cs="Times New Roman"/>
      <w:sz w:val="21"/>
      <w:szCs w:val="21"/>
    </w:rPr>
  </w:style>
  <w:style w:type="character" w:styleId="70">
    <w:name w:val="footnote reference"/>
    <w:unhideWhenUsed/>
    <w:qFormat/>
    <w:uiPriority w:val="99"/>
    <w:rPr>
      <w:vertAlign w:val="superscript"/>
    </w:rPr>
  </w:style>
  <w:style w:type="character" w:customStyle="1" w:styleId="71">
    <w:name w:val="Heading 1 Char"/>
    <w:link w:val="2"/>
    <w:qFormat/>
    <w:uiPriority w:val="9"/>
    <w:rPr>
      <w:rFonts w:ascii="Arial" w:hAnsi="Arial" w:eastAsia="Arial" w:cs="Arial"/>
      <w:sz w:val="40"/>
      <w:szCs w:val="40"/>
    </w:rPr>
  </w:style>
  <w:style w:type="character" w:customStyle="1" w:styleId="72">
    <w:name w:val="Heading 2 Char"/>
    <w:link w:val="3"/>
    <w:qFormat/>
    <w:uiPriority w:val="9"/>
    <w:rPr>
      <w:rFonts w:ascii="Arial" w:hAnsi="Arial" w:eastAsia="Arial" w:cs="Arial"/>
      <w:sz w:val="34"/>
    </w:rPr>
  </w:style>
  <w:style w:type="character" w:customStyle="1" w:styleId="73">
    <w:name w:val="Heading 3 Char"/>
    <w:link w:val="4"/>
    <w:qFormat/>
    <w:uiPriority w:val="9"/>
    <w:rPr>
      <w:rFonts w:ascii="Arial" w:hAnsi="Arial" w:eastAsia="Arial" w:cs="Arial"/>
      <w:sz w:val="30"/>
      <w:szCs w:val="30"/>
    </w:rPr>
  </w:style>
  <w:style w:type="character" w:customStyle="1" w:styleId="74">
    <w:name w:val="Heading 4 Char"/>
    <w:link w:val="6"/>
    <w:qFormat/>
    <w:uiPriority w:val="9"/>
    <w:rPr>
      <w:rFonts w:ascii="Arial" w:hAnsi="Arial" w:eastAsia="Arial" w:cs="Arial"/>
      <w:b/>
      <w:bCs/>
      <w:sz w:val="26"/>
      <w:szCs w:val="26"/>
    </w:rPr>
  </w:style>
  <w:style w:type="character" w:customStyle="1" w:styleId="75">
    <w:name w:val="Heading 5 Char"/>
    <w:link w:val="7"/>
    <w:qFormat/>
    <w:uiPriority w:val="9"/>
    <w:rPr>
      <w:rFonts w:ascii="Arial" w:hAnsi="Arial" w:eastAsia="Arial" w:cs="Arial"/>
      <w:b/>
      <w:bCs/>
      <w:sz w:val="24"/>
      <w:szCs w:val="24"/>
    </w:rPr>
  </w:style>
  <w:style w:type="character" w:customStyle="1" w:styleId="76">
    <w:name w:val="Heading 6 Char"/>
    <w:link w:val="8"/>
    <w:qFormat/>
    <w:uiPriority w:val="9"/>
    <w:rPr>
      <w:rFonts w:ascii="Arial" w:hAnsi="Arial" w:eastAsia="Arial" w:cs="Arial"/>
      <w:b/>
      <w:bCs/>
      <w:sz w:val="22"/>
      <w:szCs w:val="22"/>
    </w:rPr>
  </w:style>
  <w:style w:type="character" w:customStyle="1" w:styleId="77">
    <w:name w:val="Heading 7 Char"/>
    <w:link w:val="9"/>
    <w:qFormat/>
    <w:uiPriority w:val="9"/>
    <w:rPr>
      <w:rFonts w:ascii="Arial" w:hAnsi="Arial" w:eastAsia="Arial" w:cs="Arial"/>
      <w:b/>
      <w:bCs/>
      <w:i/>
      <w:iCs/>
      <w:sz w:val="22"/>
      <w:szCs w:val="22"/>
    </w:rPr>
  </w:style>
  <w:style w:type="character" w:customStyle="1" w:styleId="78">
    <w:name w:val="Heading 8 Char"/>
    <w:link w:val="10"/>
    <w:qFormat/>
    <w:uiPriority w:val="9"/>
    <w:rPr>
      <w:rFonts w:ascii="Arial" w:hAnsi="Arial" w:eastAsia="Arial" w:cs="Arial"/>
      <w:i/>
      <w:iCs/>
      <w:sz w:val="22"/>
      <w:szCs w:val="22"/>
    </w:rPr>
  </w:style>
  <w:style w:type="character" w:customStyle="1" w:styleId="79">
    <w:name w:val="Heading 9 Char"/>
    <w:link w:val="11"/>
    <w:qFormat/>
    <w:uiPriority w:val="9"/>
    <w:rPr>
      <w:rFonts w:ascii="Arial" w:hAnsi="Arial" w:eastAsia="Arial" w:cs="Arial"/>
      <w:i/>
      <w:iCs/>
      <w:sz w:val="21"/>
      <w:szCs w:val="21"/>
    </w:rPr>
  </w:style>
  <w:style w:type="paragraph" w:styleId="80">
    <w:name w:val="No Spacing"/>
    <w:qFormat/>
    <w:uiPriority w:val="1"/>
    <w:pPr>
      <w:spacing w:before="0" w:after="0" w:line="240" w:lineRule="auto"/>
    </w:pPr>
    <w:rPr>
      <w:rFonts w:hint="default" w:ascii="Times New Roman" w:hAnsi="Times New Roman" w:eastAsia="宋体" w:cs="Times New Roman"/>
    </w:rPr>
  </w:style>
  <w:style w:type="character" w:customStyle="1" w:styleId="81">
    <w:name w:val="Title Char"/>
    <w:link w:val="57"/>
    <w:qFormat/>
    <w:uiPriority w:val="10"/>
    <w:rPr>
      <w:sz w:val="48"/>
      <w:szCs w:val="48"/>
    </w:rPr>
  </w:style>
  <w:style w:type="character" w:customStyle="1" w:styleId="82">
    <w:name w:val="Subtitle Char"/>
    <w:link w:val="37"/>
    <w:qFormat/>
    <w:uiPriority w:val="11"/>
    <w:rPr>
      <w:sz w:val="24"/>
      <w:szCs w:val="24"/>
    </w:rPr>
  </w:style>
  <w:style w:type="paragraph" w:styleId="83">
    <w:name w:val="Quote"/>
    <w:basedOn w:val="1"/>
    <w:next w:val="1"/>
    <w:link w:val="84"/>
    <w:qFormat/>
    <w:uiPriority w:val="29"/>
    <w:pPr>
      <w:ind w:left="720" w:right="720"/>
    </w:pPr>
    <w:rPr>
      <w:i/>
    </w:rPr>
  </w:style>
  <w:style w:type="character" w:customStyle="1" w:styleId="84">
    <w:name w:val="Quote Char"/>
    <w:link w:val="83"/>
    <w:qFormat/>
    <w:uiPriority w:val="29"/>
    <w:rPr>
      <w:i/>
    </w:rPr>
  </w:style>
  <w:style w:type="paragraph" w:styleId="85">
    <w:name w:val="Intense Quote"/>
    <w:basedOn w:val="1"/>
    <w:next w:val="1"/>
    <w:link w:val="8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6">
    <w:name w:val="Intense Quote Char"/>
    <w:link w:val="85"/>
    <w:qFormat/>
    <w:uiPriority w:val="30"/>
    <w:rPr>
      <w:i/>
    </w:rPr>
  </w:style>
  <w:style w:type="character" w:customStyle="1" w:styleId="87">
    <w:name w:val="Header Char"/>
    <w:link w:val="34"/>
    <w:qFormat/>
    <w:uiPriority w:val="99"/>
  </w:style>
  <w:style w:type="character" w:customStyle="1" w:styleId="88">
    <w:name w:val="Footer Char"/>
    <w:link w:val="33"/>
    <w:qFormat/>
    <w:uiPriority w:val="99"/>
  </w:style>
  <w:style w:type="character" w:customStyle="1" w:styleId="89">
    <w:name w:val="Caption Char"/>
    <w:link w:val="33"/>
    <w:qFormat/>
    <w:uiPriority w:val="99"/>
  </w:style>
  <w:style w:type="table" w:customStyle="1" w:styleId="9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Footnote Text Char"/>
    <w:link w:val="38"/>
    <w:qFormat/>
    <w:uiPriority w:val="99"/>
    <w:rPr>
      <w:sz w:val="18"/>
    </w:rPr>
  </w:style>
  <w:style w:type="character" w:customStyle="1" w:styleId="216">
    <w:name w:val="Endnote Text Char"/>
    <w:link w:val="32"/>
    <w:qFormat/>
    <w:uiPriority w:val="99"/>
    <w:rPr>
      <w:sz w:val="20"/>
    </w:rPr>
  </w:style>
  <w:style w:type="paragraph" w:customStyle="1" w:styleId="217">
    <w:name w:val="TOC Heading"/>
    <w:unhideWhenUsed/>
    <w:qFormat/>
    <w:uiPriority w:val="39"/>
    <w:rPr>
      <w:rFonts w:hint="default" w:ascii="Times New Roman" w:hAnsi="Times New Roman" w:eastAsia="宋体" w:cs="Times New Roman"/>
    </w:rPr>
  </w:style>
  <w:style w:type="paragraph" w:customStyle="1" w:styleId="218">
    <w:name w:val="标题 11"/>
    <w:basedOn w:val="1"/>
    <w:next w:val="1"/>
    <w:link w:val="229"/>
    <w:qFormat/>
    <w:uiPriority w:val="0"/>
    <w:pPr>
      <w:keepNext/>
      <w:keepLines/>
      <w:tabs>
        <w:tab w:val="left" w:pos="1800"/>
      </w:tabs>
      <w:spacing w:before="340" w:after="330" w:line="578" w:lineRule="auto"/>
      <w:ind w:left="425" w:hanging="425"/>
      <w:jc w:val="center"/>
      <w:outlineLvl w:val="0"/>
    </w:pPr>
    <w:rPr>
      <w:rFonts w:ascii="黑体" w:eastAsia="黑体"/>
      <w:b/>
      <w:bCs/>
      <w:sz w:val="44"/>
      <w:szCs w:val="44"/>
    </w:rPr>
  </w:style>
  <w:style w:type="paragraph" w:customStyle="1" w:styleId="219">
    <w:name w:val="标题 21"/>
    <w:basedOn w:val="1"/>
    <w:next w:val="1"/>
    <w:link w:val="230"/>
    <w:qFormat/>
    <w:uiPriority w:val="0"/>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customStyle="1" w:styleId="220">
    <w:name w:val="标题 31"/>
    <w:basedOn w:val="1"/>
    <w:next w:val="1"/>
    <w:link w:val="231"/>
    <w:qFormat/>
    <w:uiPriority w:val="0"/>
    <w:pPr>
      <w:keepNext/>
      <w:keepLines/>
      <w:spacing w:before="260" w:after="260" w:line="416" w:lineRule="auto"/>
      <w:outlineLvl w:val="2"/>
    </w:pPr>
    <w:rPr>
      <w:rFonts w:ascii="黑体" w:eastAsia="黑体"/>
      <w:b/>
      <w:bCs/>
      <w:sz w:val="32"/>
      <w:szCs w:val="32"/>
    </w:rPr>
  </w:style>
  <w:style w:type="paragraph" w:customStyle="1" w:styleId="221">
    <w:name w:val="标题 41"/>
    <w:basedOn w:val="1"/>
    <w:next w:val="1"/>
    <w:link w:val="232"/>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customStyle="1" w:styleId="222">
    <w:name w:val="标题 51"/>
    <w:basedOn w:val="1"/>
    <w:next w:val="1"/>
    <w:link w:val="233"/>
    <w:qFormat/>
    <w:uiPriority w:val="0"/>
    <w:pPr>
      <w:keepNext/>
      <w:keepLines/>
      <w:tabs>
        <w:tab w:val="left" w:pos="1440"/>
      </w:tabs>
      <w:spacing w:before="280" w:after="290" w:line="376" w:lineRule="auto"/>
      <w:ind w:left="1134" w:hanging="1134"/>
      <w:outlineLvl w:val="4"/>
    </w:pPr>
    <w:rPr>
      <w:rFonts w:ascii="黑体" w:eastAsia="黑体"/>
      <w:b/>
      <w:bCs/>
      <w:sz w:val="28"/>
      <w:szCs w:val="28"/>
    </w:rPr>
  </w:style>
  <w:style w:type="paragraph" w:customStyle="1" w:styleId="223">
    <w:name w:val="标题 61"/>
    <w:basedOn w:val="1"/>
    <w:next w:val="1"/>
    <w:link w:val="234"/>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24">
    <w:name w:val="标题 71"/>
    <w:basedOn w:val="1"/>
    <w:next w:val="1"/>
    <w:link w:val="235"/>
    <w:qFormat/>
    <w:uiPriority w:val="0"/>
    <w:pPr>
      <w:keepNext/>
      <w:keepLines/>
      <w:tabs>
        <w:tab w:val="left" w:pos="1296"/>
      </w:tabs>
      <w:spacing w:before="240" w:after="64" w:line="320" w:lineRule="atLeast"/>
      <w:ind w:left="1296" w:hanging="1296"/>
      <w:outlineLvl w:val="6"/>
    </w:pPr>
    <w:rPr>
      <w:b/>
      <w:sz w:val="24"/>
    </w:rPr>
  </w:style>
  <w:style w:type="paragraph" w:customStyle="1" w:styleId="225">
    <w:name w:val="标题 81"/>
    <w:basedOn w:val="1"/>
    <w:next w:val="1"/>
    <w:link w:val="236"/>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26">
    <w:name w:val="标题 91"/>
    <w:basedOn w:val="1"/>
    <w:next w:val="1"/>
    <w:link w:val="237"/>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27">
    <w:name w:val="默认段落字体1"/>
    <w:link w:val="1"/>
    <w:qFormat/>
    <w:uiPriority w:val="0"/>
  </w:style>
  <w:style w:type="table" w:customStyle="1" w:styleId="228">
    <w:name w:val="普通表格1"/>
    <w:unhideWhenUsed/>
    <w:qFormat/>
    <w:uiPriority w:val="99"/>
  </w:style>
  <w:style w:type="character" w:customStyle="1" w:styleId="229">
    <w:name w:val="标题 1 字符"/>
    <w:link w:val="218"/>
    <w:qFormat/>
    <w:uiPriority w:val="0"/>
    <w:rPr>
      <w:rFonts w:ascii="黑体" w:eastAsia="黑体"/>
      <w:b/>
      <w:bCs/>
      <w:sz w:val="44"/>
      <w:szCs w:val="44"/>
    </w:rPr>
  </w:style>
  <w:style w:type="character" w:customStyle="1" w:styleId="230">
    <w:name w:val="标题 2 字符"/>
    <w:link w:val="219"/>
    <w:qFormat/>
    <w:uiPriority w:val="0"/>
    <w:rPr>
      <w:rFonts w:ascii="Arial" w:hAnsi="Arial" w:eastAsia="黑体"/>
      <w:b/>
      <w:bCs/>
      <w:sz w:val="32"/>
      <w:szCs w:val="32"/>
    </w:rPr>
  </w:style>
  <w:style w:type="character" w:customStyle="1" w:styleId="231">
    <w:name w:val="标题 3 字符"/>
    <w:link w:val="220"/>
    <w:qFormat/>
    <w:uiPriority w:val="0"/>
    <w:rPr>
      <w:rFonts w:ascii="黑体" w:hAnsi="Times New Roman" w:eastAsia="黑体" w:cs="Times New Roman"/>
      <w:b/>
      <w:bCs/>
      <w:sz w:val="32"/>
      <w:szCs w:val="32"/>
      <w:lang w:val="en-US" w:eastAsia="zh-CN"/>
    </w:rPr>
  </w:style>
  <w:style w:type="character" w:customStyle="1" w:styleId="232">
    <w:name w:val="标题 4 字符"/>
    <w:link w:val="221"/>
    <w:qFormat/>
    <w:uiPriority w:val="0"/>
    <w:rPr>
      <w:rFonts w:ascii="Arial" w:hAnsi="Arial" w:eastAsia="黑体"/>
      <w:b/>
      <w:bCs/>
      <w:sz w:val="28"/>
      <w:szCs w:val="28"/>
    </w:rPr>
  </w:style>
  <w:style w:type="character" w:customStyle="1" w:styleId="233">
    <w:name w:val="标题 5 字符"/>
    <w:link w:val="222"/>
    <w:qFormat/>
    <w:uiPriority w:val="0"/>
    <w:rPr>
      <w:rFonts w:ascii="黑体" w:eastAsia="黑体"/>
      <w:b/>
      <w:bCs/>
      <w:sz w:val="28"/>
      <w:szCs w:val="28"/>
    </w:rPr>
  </w:style>
  <w:style w:type="character" w:customStyle="1" w:styleId="234">
    <w:name w:val="标题 6 字符"/>
    <w:link w:val="223"/>
    <w:qFormat/>
    <w:uiPriority w:val="0"/>
    <w:rPr>
      <w:rFonts w:ascii="Arial" w:hAnsi="Arial" w:eastAsia="黑体" w:cs="Times New Roman"/>
      <w:b/>
      <w:sz w:val="24"/>
      <w:szCs w:val="24"/>
    </w:rPr>
  </w:style>
  <w:style w:type="character" w:customStyle="1" w:styleId="235">
    <w:name w:val="标题 7 字符"/>
    <w:link w:val="224"/>
    <w:qFormat/>
    <w:uiPriority w:val="0"/>
    <w:rPr>
      <w:rFonts w:ascii="Times New Roman" w:hAnsi="Times New Roman" w:eastAsia="宋体" w:cs="Times New Roman"/>
      <w:b/>
      <w:sz w:val="24"/>
      <w:szCs w:val="24"/>
    </w:rPr>
  </w:style>
  <w:style w:type="character" w:customStyle="1" w:styleId="236">
    <w:name w:val="标题 8 字符"/>
    <w:link w:val="225"/>
    <w:qFormat/>
    <w:uiPriority w:val="0"/>
    <w:rPr>
      <w:rFonts w:ascii="Arial" w:hAnsi="Arial" w:eastAsia="黑体" w:cs="Times New Roman"/>
      <w:sz w:val="24"/>
      <w:szCs w:val="24"/>
    </w:rPr>
  </w:style>
  <w:style w:type="character" w:customStyle="1" w:styleId="237">
    <w:name w:val="标题 9 字符"/>
    <w:link w:val="226"/>
    <w:qFormat/>
    <w:uiPriority w:val="0"/>
    <w:rPr>
      <w:rFonts w:ascii="Arial" w:hAnsi="Arial" w:eastAsia="黑体" w:cs="Times New Roman"/>
      <w:sz w:val="21"/>
      <w:szCs w:val="24"/>
    </w:rPr>
  </w:style>
  <w:style w:type="paragraph" w:customStyle="1" w:styleId="238">
    <w:name w:val="正文缩进1"/>
    <w:basedOn w:val="1"/>
    <w:qFormat/>
    <w:uiPriority w:val="0"/>
    <w:pPr>
      <w:widowControl/>
      <w:ind w:firstLine="420"/>
      <w:jc w:val="left"/>
    </w:pPr>
    <w:rPr>
      <w:sz w:val="20"/>
      <w:szCs w:val="20"/>
    </w:rPr>
  </w:style>
  <w:style w:type="paragraph" w:customStyle="1" w:styleId="239">
    <w:name w:val="题注1"/>
    <w:basedOn w:val="1"/>
    <w:next w:val="1"/>
    <w:qFormat/>
    <w:uiPriority w:val="0"/>
    <w:rPr>
      <w:rFonts w:ascii="Arial" w:hAnsi="Arial" w:eastAsia="黑体" w:cs="Arial"/>
      <w:sz w:val="20"/>
      <w:szCs w:val="20"/>
    </w:rPr>
  </w:style>
  <w:style w:type="paragraph" w:customStyle="1" w:styleId="240">
    <w:name w:val="列表项目符号1"/>
    <w:basedOn w:val="1"/>
    <w:qFormat/>
    <w:uiPriority w:val="0"/>
    <w:pPr>
      <w:tabs>
        <w:tab w:val="left" w:pos="360"/>
      </w:tabs>
      <w:ind w:left="360" w:firstLine="200"/>
    </w:pPr>
    <w:rPr>
      <w:rFonts w:hAnsi="宋体"/>
      <w:color w:val="000000"/>
      <w:spacing w:val="-8"/>
      <w:szCs w:val="20"/>
    </w:rPr>
  </w:style>
  <w:style w:type="paragraph" w:customStyle="1" w:styleId="241">
    <w:name w:val="文档结构图1"/>
    <w:basedOn w:val="1"/>
    <w:link w:val="242"/>
    <w:qFormat/>
    <w:uiPriority w:val="0"/>
    <w:rPr>
      <w:rFonts w:ascii="宋体"/>
      <w:sz w:val="18"/>
      <w:szCs w:val="18"/>
    </w:rPr>
  </w:style>
  <w:style w:type="character" w:customStyle="1" w:styleId="242">
    <w:name w:val="文档结构图 字符"/>
    <w:link w:val="241"/>
    <w:qFormat/>
    <w:uiPriority w:val="0"/>
    <w:rPr>
      <w:rFonts w:ascii="宋体"/>
      <w:sz w:val="18"/>
      <w:szCs w:val="18"/>
    </w:rPr>
  </w:style>
  <w:style w:type="character" w:customStyle="1" w:styleId="243">
    <w:name w:val="批注文字 字符"/>
    <w:link w:val="59"/>
    <w:qFormat/>
    <w:uiPriority w:val="0"/>
    <w:rPr>
      <w:rFonts w:ascii="Times New Roman" w:hAnsi="Times New Roman" w:eastAsia="宋体" w:cs="Times New Roman"/>
      <w:sz w:val="21"/>
      <w:szCs w:val="24"/>
    </w:rPr>
  </w:style>
  <w:style w:type="character" w:customStyle="1" w:styleId="244">
    <w:name w:val="正文文本 字符"/>
    <w:link w:val="51"/>
    <w:qFormat/>
    <w:uiPriority w:val="0"/>
    <w:rPr>
      <w:rFonts w:ascii="楷体_GB2312" w:hAnsi="Arial" w:eastAsia="楷体_GB2312" w:cs="Times New Roman"/>
      <w:sz w:val="28"/>
      <w:szCs w:val="28"/>
    </w:rPr>
  </w:style>
  <w:style w:type="paragraph" w:customStyle="1" w:styleId="245">
    <w:name w:val="正文文本缩进1"/>
    <w:basedOn w:val="1"/>
    <w:next w:val="246"/>
    <w:qFormat/>
    <w:uiPriority w:val="0"/>
    <w:pPr>
      <w:ind w:firstLine="560"/>
    </w:pPr>
    <w:rPr>
      <w:sz w:val="28"/>
    </w:rPr>
  </w:style>
  <w:style w:type="paragraph" w:customStyle="1" w:styleId="246">
    <w:name w:val="寄信人地址1"/>
    <w:basedOn w:val="1"/>
    <w:unhideWhenUsed/>
    <w:qFormat/>
    <w:uiPriority w:val="99"/>
    <w:rPr>
      <w:rFonts w:ascii="Arial" w:hAnsi="Arial"/>
    </w:rPr>
  </w:style>
  <w:style w:type="paragraph" w:customStyle="1" w:styleId="247">
    <w:name w:val="列表项目符号 21"/>
    <w:basedOn w:val="1"/>
    <w:qFormat/>
    <w:uiPriority w:val="0"/>
    <w:pPr>
      <w:tabs>
        <w:tab w:val="left" w:pos="780"/>
      </w:tabs>
      <w:ind w:left="780" w:firstLine="200"/>
    </w:pPr>
    <w:rPr>
      <w:rFonts w:hAnsi="宋体"/>
      <w:color w:val="000000"/>
      <w:spacing w:val="-8"/>
      <w:szCs w:val="20"/>
    </w:rPr>
  </w:style>
  <w:style w:type="paragraph" w:customStyle="1" w:styleId="248">
    <w:name w:val="列表项目符号 51"/>
    <w:basedOn w:val="1"/>
    <w:qFormat/>
    <w:uiPriority w:val="0"/>
    <w:pPr>
      <w:widowControl/>
      <w:tabs>
        <w:tab w:val="left" w:pos="2040"/>
      </w:tabs>
      <w:spacing w:line="360" w:lineRule="exact"/>
      <w:ind w:left="2040" w:hanging="360"/>
    </w:pPr>
    <w:rPr>
      <w:rFonts w:eastAsia="楷体_GB2312"/>
      <w:sz w:val="24"/>
      <w:szCs w:val="20"/>
    </w:rPr>
  </w:style>
  <w:style w:type="paragraph" w:customStyle="1" w:styleId="249">
    <w:name w:val="正文文本缩进 21"/>
    <w:basedOn w:val="1"/>
    <w:link w:val="250"/>
    <w:qFormat/>
    <w:uiPriority w:val="0"/>
    <w:pPr>
      <w:spacing w:after="120" w:line="480" w:lineRule="auto"/>
      <w:ind w:left="420"/>
    </w:pPr>
  </w:style>
  <w:style w:type="character" w:customStyle="1" w:styleId="250">
    <w:name w:val="正文文本缩进 2 字符"/>
    <w:link w:val="249"/>
    <w:qFormat/>
    <w:uiPriority w:val="0"/>
    <w:rPr>
      <w:sz w:val="21"/>
      <w:szCs w:val="24"/>
    </w:rPr>
  </w:style>
  <w:style w:type="paragraph" w:customStyle="1" w:styleId="251">
    <w:name w:val="批注框文本1"/>
    <w:basedOn w:val="1"/>
    <w:link w:val="252"/>
    <w:qFormat/>
    <w:uiPriority w:val="0"/>
    <w:rPr>
      <w:sz w:val="18"/>
      <w:szCs w:val="18"/>
    </w:rPr>
  </w:style>
  <w:style w:type="character" w:customStyle="1" w:styleId="252">
    <w:name w:val="批注框文本 字符"/>
    <w:link w:val="251"/>
    <w:qFormat/>
    <w:uiPriority w:val="0"/>
    <w:rPr>
      <w:rFonts w:ascii="Times New Roman" w:hAnsi="Times New Roman" w:eastAsia="宋体" w:cs="Times New Roman"/>
      <w:sz w:val="18"/>
      <w:szCs w:val="18"/>
    </w:rPr>
  </w:style>
  <w:style w:type="paragraph" w:customStyle="1" w:styleId="253">
    <w:name w:val="页脚1"/>
    <w:basedOn w:val="1"/>
    <w:link w:val="254"/>
    <w:qFormat/>
    <w:uiPriority w:val="0"/>
    <w:pPr>
      <w:tabs>
        <w:tab w:val="center" w:pos="4153"/>
        <w:tab w:val="right" w:pos="8306"/>
      </w:tabs>
      <w:jc w:val="left"/>
    </w:pPr>
    <w:rPr>
      <w:sz w:val="18"/>
      <w:szCs w:val="18"/>
    </w:rPr>
  </w:style>
  <w:style w:type="character" w:customStyle="1" w:styleId="254">
    <w:name w:val="页脚 字符"/>
    <w:link w:val="253"/>
    <w:qFormat/>
    <w:uiPriority w:val="0"/>
    <w:rPr>
      <w:rFonts w:ascii="Times New Roman" w:hAnsi="Times New Roman" w:eastAsia="宋体" w:cs="Times New Roman"/>
      <w:sz w:val="18"/>
      <w:szCs w:val="18"/>
    </w:rPr>
  </w:style>
  <w:style w:type="paragraph" w:customStyle="1" w:styleId="255">
    <w:name w:val="页眉11"/>
    <w:basedOn w:val="1"/>
    <w:link w:val="256"/>
    <w:qFormat/>
    <w:uiPriority w:val="0"/>
    <w:pPr>
      <w:pBdr>
        <w:bottom w:val="single" w:color="000000" w:sz="6" w:space="1"/>
      </w:pBdr>
      <w:tabs>
        <w:tab w:val="center" w:pos="4153"/>
        <w:tab w:val="right" w:pos="8306"/>
      </w:tabs>
      <w:jc w:val="center"/>
    </w:pPr>
    <w:rPr>
      <w:sz w:val="18"/>
      <w:szCs w:val="18"/>
    </w:rPr>
  </w:style>
  <w:style w:type="character" w:customStyle="1" w:styleId="256">
    <w:name w:val="页眉 字符"/>
    <w:link w:val="255"/>
    <w:qFormat/>
    <w:uiPriority w:val="0"/>
    <w:rPr>
      <w:rFonts w:ascii="Times New Roman" w:hAnsi="Times New Roman" w:eastAsia="宋体" w:cs="Times New Roman"/>
      <w:sz w:val="18"/>
      <w:szCs w:val="18"/>
    </w:rPr>
  </w:style>
  <w:style w:type="character" w:customStyle="1" w:styleId="257">
    <w:name w:val="TOC 1 字符"/>
    <w:link w:val="35"/>
    <w:qFormat/>
    <w:uiPriority w:val="0"/>
    <w:rPr>
      <w:rFonts w:ascii="黑体" w:hAnsi="宋体" w:eastAsia="黑体" w:cs="Times New Roman"/>
      <w:caps/>
      <w:sz w:val="30"/>
      <w:szCs w:val="30"/>
      <w:lang w:val="en-US" w:eastAsia="zh-CN"/>
    </w:rPr>
  </w:style>
  <w:style w:type="paragraph" w:customStyle="1" w:styleId="258">
    <w:name w:val="列表1"/>
    <w:basedOn w:val="1"/>
    <w:qFormat/>
    <w:uiPriority w:val="0"/>
    <w:pPr>
      <w:numPr>
        <w:ilvl w:val="0"/>
        <w:numId w:val="1"/>
      </w:numPr>
      <w:spacing w:after="20" w:line="288" w:lineRule="auto"/>
    </w:pPr>
    <w:rPr>
      <w:szCs w:val="20"/>
      <w:lang w:val="en-GB"/>
    </w:rPr>
  </w:style>
  <w:style w:type="paragraph" w:customStyle="1" w:styleId="259">
    <w:name w:val="脚注文本1"/>
    <w:basedOn w:val="1"/>
    <w:link w:val="260"/>
    <w:qFormat/>
    <w:uiPriority w:val="0"/>
    <w:pPr>
      <w:spacing w:after="60" w:line="360" w:lineRule="exact"/>
      <w:ind w:firstLine="425"/>
      <w:jc w:val="left"/>
    </w:pPr>
    <w:rPr>
      <w:sz w:val="18"/>
      <w:szCs w:val="18"/>
    </w:rPr>
  </w:style>
  <w:style w:type="character" w:customStyle="1" w:styleId="260">
    <w:name w:val="脚注文本 字符"/>
    <w:link w:val="259"/>
    <w:qFormat/>
    <w:uiPriority w:val="0"/>
    <w:rPr>
      <w:rFonts w:ascii="Times New Roman" w:hAnsi="Times New Roman" w:eastAsia="宋体" w:cs="Times New Roman"/>
      <w:sz w:val="18"/>
      <w:szCs w:val="18"/>
    </w:rPr>
  </w:style>
  <w:style w:type="paragraph" w:customStyle="1" w:styleId="261">
    <w:name w:val="正文文本缩进 31"/>
    <w:basedOn w:val="1"/>
    <w:link w:val="262"/>
    <w:qFormat/>
    <w:uiPriority w:val="0"/>
    <w:pPr>
      <w:spacing w:after="120"/>
      <w:ind w:left="420"/>
    </w:pPr>
    <w:rPr>
      <w:sz w:val="16"/>
      <w:szCs w:val="16"/>
    </w:rPr>
  </w:style>
  <w:style w:type="character" w:customStyle="1" w:styleId="262">
    <w:name w:val="正文文本缩进 3 字符"/>
    <w:link w:val="261"/>
    <w:qFormat/>
    <w:uiPriority w:val="0"/>
    <w:rPr>
      <w:sz w:val="16"/>
      <w:szCs w:val="16"/>
    </w:rPr>
  </w:style>
  <w:style w:type="paragraph" w:customStyle="1" w:styleId="263">
    <w:name w:val="普通(网站)1"/>
    <w:basedOn w:val="1"/>
    <w:qFormat/>
    <w:uiPriority w:val="0"/>
    <w:pPr>
      <w:widowControl/>
      <w:spacing w:before="100" w:beforeAutospacing="1" w:after="100" w:afterAutospacing="1" w:line="288" w:lineRule="auto"/>
      <w:ind w:firstLine="420"/>
      <w:jc w:val="left"/>
    </w:pPr>
    <w:rPr>
      <w:rFonts w:ascii="宋体" w:hAnsi="宋体"/>
      <w:sz w:val="24"/>
    </w:rPr>
  </w:style>
  <w:style w:type="paragraph" w:customStyle="1" w:styleId="264">
    <w:name w:val="标题1"/>
    <w:basedOn w:val="1"/>
    <w:link w:val="265"/>
    <w:qFormat/>
    <w:uiPriority w:val="0"/>
    <w:pPr>
      <w:spacing w:before="240" w:after="60" w:line="288" w:lineRule="auto"/>
      <w:ind w:firstLine="420"/>
      <w:jc w:val="center"/>
      <w:outlineLvl w:val="0"/>
    </w:pPr>
    <w:rPr>
      <w:rFonts w:ascii="Arial" w:hAnsi="Arial"/>
      <w:b/>
      <w:bCs/>
      <w:sz w:val="32"/>
      <w:szCs w:val="32"/>
    </w:rPr>
  </w:style>
  <w:style w:type="character" w:customStyle="1" w:styleId="265">
    <w:name w:val="标题 字符"/>
    <w:link w:val="264"/>
    <w:qFormat/>
    <w:uiPriority w:val="0"/>
    <w:rPr>
      <w:rFonts w:ascii="Arial" w:hAnsi="Arial" w:eastAsia="宋体" w:cs="Arial"/>
      <w:b/>
      <w:bCs/>
      <w:sz w:val="32"/>
      <w:szCs w:val="32"/>
    </w:rPr>
  </w:style>
  <w:style w:type="paragraph" w:customStyle="1" w:styleId="266">
    <w:name w:val="批注主题1"/>
    <w:basedOn w:val="59"/>
    <w:next w:val="59"/>
    <w:link w:val="267"/>
    <w:qFormat/>
    <w:uiPriority w:val="0"/>
    <w:rPr>
      <w:b/>
      <w:bCs/>
    </w:rPr>
  </w:style>
  <w:style w:type="character" w:customStyle="1" w:styleId="267">
    <w:name w:val="批注主题 字符"/>
    <w:link w:val="266"/>
    <w:qFormat/>
    <w:uiPriority w:val="0"/>
    <w:rPr>
      <w:rFonts w:ascii="Times New Roman" w:hAnsi="Times New Roman" w:eastAsia="宋体" w:cs="Times New Roman"/>
      <w:b/>
      <w:bCs/>
      <w:sz w:val="21"/>
      <w:szCs w:val="24"/>
    </w:rPr>
  </w:style>
  <w:style w:type="paragraph" w:customStyle="1" w:styleId="268">
    <w:name w:val="正文文本首行缩进"/>
    <w:basedOn w:val="51"/>
    <w:next w:val="269"/>
    <w:qFormat/>
    <w:uiPriority w:val="0"/>
    <w:pPr>
      <w:widowControl/>
      <w:ind w:firstLine="420"/>
      <w:jc w:val="left"/>
    </w:pPr>
    <w:rPr>
      <w:sz w:val="20"/>
    </w:rPr>
  </w:style>
  <w:style w:type="paragraph" w:customStyle="1" w:styleId="269">
    <w:name w:val="正文文本首行缩进 2"/>
    <w:basedOn w:val="245"/>
    <w:next w:val="1"/>
    <w:qFormat/>
    <w:uiPriority w:val="0"/>
    <w:pPr>
      <w:widowControl w:val="0"/>
      <w:spacing w:after="120" w:line="240" w:lineRule="auto"/>
      <w:ind w:left="0" w:firstLine="210"/>
    </w:pPr>
    <w:rPr>
      <w:rFonts w:hAnsi="宋体"/>
      <w:color w:val="000000"/>
      <w:spacing w:val="-8"/>
      <w:sz w:val="21"/>
    </w:rPr>
  </w:style>
  <w:style w:type="table" w:customStyle="1" w:styleId="270">
    <w:name w:val="网格型1"/>
    <w:basedOn w:val="228"/>
    <w:qFormat/>
    <w:uiPriority w:val="0"/>
    <w:pPr>
      <w:widowControl w:val="0"/>
      <w:jc w:val="both"/>
    </w:pPr>
  </w:style>
  <w:style w:type="character" w:customStyle="1" w:styleId="271">
    <w:name w:val="要点1"/>
    <w:link w:val="1"/>
    <w:qFormat/>
    <w:uiPriority w:val="0"/>
    <w:rPr>
      <w:rFonts w:ascii="Times New Roman" w:hAnsi="Times New Roman" w:eastAsia="宋体" w:cs="Times New Roman"/>
      <w:b/>
      <w:bCs/>
    </w:rPr>
  </w:style>
  <w:style w:type="character" w:customStyle="1" w:styleId="272">
    <w:name w:val="页码1"/>
    <w:link w:val="1"/>
    <w:qFormat/>
    <w:uiPriority w:val="0"/>
  </w:style>
  <w:style w:type="character" w:customStyle="1" w:styleId="273">
    <w:name w:val="访问过的超链接"/>
    <w:link w:val="1"/>
    <w:qFormat/>
    <w:uiPriority w:val="0"/>
    <w:rPr>
      <w:rFonts w:ascii="Times New Roman" w:hAnsi="Times New Roman" w:eastAsia="宋体" w:cs="Times New Roman"/>
      <w:color w:val="000000"/>
      <w:u w:val="none"/>
    </w:rPr>
  </w:style>
  <w:style w:type="character" w:customStyle="1" w:styleId="274">
    <w:name w:val="强调1"/>
    <w:link w:val="1"/>
    <w:qFormat/>
    <w:uiPriority w:val="0"/>
    <w:rPr>
      <w:rFonts w:ascii="Times New Roman" w:hAnsi="Times New Roman" w:eastAsia="宋体" w:cs="Times New Roman"/>
      <w:i/>
    </w:rPr>
  </w:style>
  <w:style w:type="character" w:customStyle="1" w:styleId="275">
    <w:name w:val="超链接1"/>
    <w:link w:val="1"/>
    <w:qFormat/>
    <w:uiPriority w:val="0"/>
    <w:rPr>
      <w:rFonts w:ascii="Times New Roman" w:hAnsi="Times New Roman" w:eastAsia="宋体" w:cs="Times New Roman"/>
      <w:color w:val="0000FF"/>
      <w:u w:val="single"/>
    </w:rPr>
  </w:style>
  <w:style w:type="character" w:customStyle="1" w:styleId="276">
    <w:name w:val="批注引用1"/>
    <w:link w:val="1"/>
    <w:qFormat/>
    <w:uiPriority w:val="0"/>
    <w:rPr>
      <w:sz w:val="21"/>
      <w:szCs w:val="21"/>
    </w:rPr>
  </w:style>
  <w:style w:type="character" w:customStyle="1" w:styleId="277">
    <w:name w:val="脚注引用1"/>
    <w:link w:val="1"/>
    <w:qFormat/>
    <w:uiPriority w:val="0"/>
    <w:rPr>
      <w:rFonts w:ascii="宋体" w:hAnsi="宋体" w:eastAsia="宋体" w:cs="Times New Roman"/>
      <w:vertAlign w:val="superscript"/>
    </w:rPr>
  </w:style>
  <w:style w:type="paragraph" w:customStyle="1" w:styleId="278">
    <w:name w:val="BodyText1I1"/>
    <w:basedOn w:val="279"/>
    <w:qFormat/>
    <w:uiPriority w:val="0"/>
    <w:pPr>
      <w:spacing w:after="120" w:line="440" w:lineRule="exact"/>
      <w:ind w:firstLine="420"/>
    </w:pPr>
    <w:rPr>
      <w:rFonts w:ascii="宋体"/>
      <w:sz w:val="24"/>
      <w:szCs w:val="28"/>
    </w:rPr>
  </w:style>
  <w:style w:type="paragraph" w:customStyle="1" w:styleId="279">
    <w:name w:val="BodyText1"/>
    <w:basedOn w:val="1"/>
    <w:qFormat/>
    <w:uiPriority w:val="0"/>
    <w:rPr>
      <w:sz w:val="20"/>
    </w:rPr>
  </w:style>
  <w:style w:type="character" w:customStyle="1" w:styleId="280">
    <w:name w:val="结束语 Char"/>
    <w:link w:val="281"/>
    <w:qFormat/>
    <w:uiPriority w:val="0"/>
    <w:rPr>
      <w:rFonts w:ascii="Times New Roman" w:hAnsi="Times New Roman" w:eastAsia="宋体" w:cs="Times New Roman"/>
      <w:sz w:val="28"/>
      <w:szCs w:val="24"/>
    </w:rPr>
  </w:style>
  <w:style w:type="paragraph" w:customStyle="1" w:styleId="281">
    <w:name w:val="Closing1"/>
    <w:basedOn w:val="1"/>
    <w:link w:val="280"/>
    <w:qFormat/>
    <w:uiPriority w:val="0"/>
    <w:pPr>
      <w:spacing w:after="20" w:line="288" w:lineRule="auto"/>
      <w:ind w:left="100" w:firstLine="420"/>
    </w:pPr>
    <w:rPr>
      <w:sz w:val="28"/>
    </w:rPr>
  </w:style>
  <w:style w:type="character" w:customStyle="1" w:styleId="282">
    <w:name w:val="b"/>
    <w:link w:val="1"/>
    <w:qFormat/>
    <w:uiPriority w:val="0"/>
    <w:rPr>
      <w:rFonts w:ascii="Times New Roman" w:hAnsi="Times New Roman" w:eastAsia="宋体" w:cs="Times New Roman"/>
    </w:rPr>
  </w:style>
  <w:style w:type="character" w:customStyle="1" w:styleId="283">
    <w:name w:val="Char Char8"/>
    <w:link w:val="1"/>
    <w:qFormat/>
    <w:uiPriority w:val="0"/>
    <w:rPr>
      <w:rFonts w:ascii="Times New Roman" w:hAnsi="Times New Roman" w:eastAsia="宋体" w:cs="Times New Roman"/>
      <w:b/>
      <w:bCs/>
      <w:sz w:val="44"/>
      <w:szCs w:val="44"/>
    </w:rPr>
  </w:style>
  <w:style w:type="character" w:customStyle="1" w:styleId="284">
    <w:name w:val="正文文本 3 Char"/>
    <w:link w:val="20"/>
    <w:qFormat/>
    <w:uiPriority w:val="0"/>
    <w:rPr>
      <w:rFonts w:ascii="Times New Roman" w:hAnsi="Times New Roman" w:eastAsia="宋体" w:cs="Times New Roman"/>
      <w:sz w:val="24"/>
      <w:szCs w:val="24"/>
    </w:rPr>
  </w:style>
  <w:style w:type="character" w:customStyle="1" w:styleId="285">
    <w:name w:val="正文首行缩进 2 Char"/>
    <w:link w:val="61"/>
    <w:qFormat/>
    <w:uiPriority w:val="0"/>
    <w:rPr>
      <w:rFonts w:ascii="Times New Roman" w:hAnsi="宋体" w:eastAsia="宋体" w:cs="Times New Roman"/>
      <w:color w:val="000000"/>
      <w:spacing w:val="-8"/>
      <w:sz w:val="21"/>
      <w:szCs w:val="24"/>
    </w:rPr>
  </w:style>
  <w:style w:type="character" w:customStyle="1" w:styleId="286">
    <w:name w:val="正文文本缩进 Char"/>
    <w:link w:val="21"/>
    <w:qFormat/>
    <w:uiPriority w:val="0"/>
    <w:rPr>
      <w:rFonts w:ascii="仿宋_GB2312" w:hAnsi="Times New Roman" w:eastAsia="仿宋_GB2312" w:cs="Times New Roman"/>
      <w:sz w:val="28"/>
      <w:lang w:val="en-US" w:eastAsia="zh-CN"/>
    </w:rPr>
  </w:style>
  <w:style w:type="character" w:customStyle="1" w:styleId="287">
    <w:name w:val="称呼 Char"/>
    <w:link w:val="288"/>
    <w:qFormat/>
    <w:uiPriority w:val="0"/>
    <w:rPr>
      <w:rFonts w:ascii="Times New Roman" w:hAnsi="Times New Roman" w:eastAsia="宋体" w:cs="Times New Roman"/>
      <w:sz w:val="28"/>
      <w:szCs w:val="24"/>
    </w:rPr>
  </w:style>
  <w:style w:type="paragraph" w:customStyle="1" w:styleId="288">
    <w:name w:val="Salutation1"/>
    <w:basedOn w:val="1"/>
    <w:next w:val="1"/>
    <w:link w:val="287"/>
    <w:qFormat/>
    <w:uiPriority w:val="0"/>
    <w:pPr>
      <w:spacing w:after="20" w:line="288" w:lineRule="auto"/>
      <w:ind w:firstLine="420"/>
    </w:pPr>
    <w:rPr>
      <w:sz w:val="28"/>
    </w:rPr>
  </w:style>
  <w:style w:type="character" w:customStyle="1" w:styleId="289">
    <w:name w:val="一般文字 字元 Char"/>
    <w:link w:val="1"/>
    <w:qFormat/>
    <w:uiPriority w:val="0"/>
    <w:rPr>
      <w:rFonts w:ascii="宋体" w:hAnsi="Courier New" w:eastAsia="宋体" w:cs="Times New Roman"/>
      <w:sz w:val="21"/>
      <w:lang w:val="en-US" w:eastAsia="zh-CN"/>
    </w:rPr>
  </w:style>
  <w:style w:type="character" w:customStyle="1" w:styleId="290">
    <w:name w:val="正文文本缩进 Char1"/>
    <w:link w:val="1"/>
    <w:qFormat/>
    <w:uiPriority w:val="0"/>
    <w:rPr>
      <w:rFonts w:ascii="Times New Roman" w:hAnsi="Times New Roman" w:eastAsia="宋体" w:cs="Times New Roman"/>
      <w:szCs w:val="24"/>
    </w:rPr>
  </w:style>
  <w:style w:type="character" w:customStyle="1" w:styleId="291">
    <w:name w:val="itm1"/>
    <w:link w:val="1"/>
    <w:qFormat/>
    <w:uiPriority w:val="0"/>
    <w:rPr>
      <w:rFonts w:hint="eastAsia" w:ascii="宋体" w:hAnsi="宋体" w:eastAsia="宋体" w:cs="Times New Roman"/>
      <w:sz w:val="21"/>
      <w:szCs w:val="21"/>
    </w:rPr>
  </w:style>
  <w:style w:type="character" w:customStyle="1" w:styleId="292">
    <w:name w:val="表格 Char Char Char"/>
    <w:link w:val="1"/>
    <w:qFormat/>
    <w:uiPriority w:val="0"/>
    <w:rPr>
      <w:rFonts w:ascii="Times New Roman" w:hAnsi="Times New Roman" w:eastAsia="宋体" w:cs="Times New Roman"/>
      <w:sz w:val="21"/>
      <w:szCs w:val="21"/>
      <w:lang w:val="en-US" w:eastAsia="zh-CN"/>
    </w:rPr>
  </w:style>
  <w:style w:type="character" w:customStyle="1" w:styleId="293">
    <w:name w:val="Char Char25"/>
    <w:link w:val="1"/>
    <w:qFormat/>
    <w:uiPriority w:val="0"/>
    <w:rPr>
      <w:rFonts w:ascii="Times New Roman" w:hAnsi="Times New Roman" w:eastAsia="宋体" w:cs="Times New Roman"/>
      <w:b/>
      <w:sz w:val="24"/>
      <w:szCs w:val="24"/>
    </w:rPr>
  </w:style>
  <w:style w:type="character" w:customStyle="1" w:styleId="294">
    <w:name w:val="正文首行缩进 Char"/>
    <w:link w:val="60"/>
    <w:qFormat/>
    <w:uiPriority w:val="0"/>
    <w:rPr>
      <w:rFonts w:ascii="仿宋_GB2312" w:hAnsi="Times New Roman" w:eastAsia="仿宋_GB2312" w:cs="Times New Roman"/>
      <w:color w:val="000000"/>
      <w:spacing w:val="-8"/>
      <w:sz w:val="21"/>
    </w:rPr>
  </w:style>
  <w:style w:type="character" w:customStyle="1" w:styleId="295">
    <w:name w:val="Char Char Char Char Char Char Char Char Char Char"/>
    <w:link w:val="1"/>
    <w:qFormat/>
    <w:uiPriority w:val="0"/>
    <w:rPr>
      <w:rFonts w:ascii="Times New Roman" w:hAnsi="Times New Roman" w:eastAsia="宋体" w:cs="Times New Roman"/>
      <w:b/>
      <w:bCs/>
      <w:sz w:val="32"/>
      <w:szCs w:val="44"/>
      <w:lang w:val="en-US" w:eastAsia="zh-CN"/>
    </w:rPr>
  </w:style>
  <w:style w:type="character" w:customStyle="1" w:styleId="296">
    <w:name w:val="Char Char Char1"/>
    <w:link w:val="297"/>
    <w:qFormat/>
    <w:uiPriority w:val="0"/>
    <w:rPr>
      <w:rFonts w:ascii="仿宋_GB2312" w:eastAsia="仿宋_GB2312"/>
      <w:b/>
      <w:sz w:val="32"/>
      <w:szCs w:val="32"/>
    </w:rPr>
  </w:style>
  <w:style w:type="paragraph" w:customStyle="1" w:styleId="297">
    <w:name w:val="Char2"/>
    <w:basedOn w:val="1"/>
    <w:link w:val="296"/>
    <w:qFormat/>
    <w:uiPriority w:val="0"/>
    <w:rPr>
      <w:rFonts w:ascii="仿宋_GB2312" w:eastAsia="仿宋_GB2312"/>
      <w:b/>
      <w:sz w:val="32"/>
      <w:szCs w:val="32"/>
    </w:rPr>
  </w:style>
  <w:style w:type="character" w:customStyle="1" w:styleId="298">
    <w:name w:val="正文文本缩进 2 Char"/>
    <w:link w:val="31"/>
    <w:qFormat/>
    <w:uiPriority w:val="0"/>
    <w:rPr>
      <w:rFonts w:ascii="楷体_GB2312" w:hAnsi="Times New Roman" w:eastAsia="楷体_GB2312" w:cs="Times New Roman"/>
      <w:sz w:val="24"/>
      <w:szCs w:val="24"/>
      <w:lang w:val="en-US" w:eastAsia="zh-CN"/>
    </w:rPr>
  </w:style>
  <w:style w:type="character" w:customStyle="1" w:styleId="299">
    <w:name w:val="文档结构图 Char"/>
    <w:link w:val="17"/>
    <w:qFormat/>
    <w:uiPriority w:val="0"/>
    <w:rPr>
      <w:rFonts w:ascii="宋体" w:hAnsi="Times New Roman" w:eastAsia="宋体" w:cs="Times New Roman"/>
      <w:sz w:val="18"/>
      <w:szCs w:val="18"/>
    </w:rPr>
  </w:style>
  <w:style w:type="character" w:customStyle="1" w:styleId="300">
    <w:name w:val="普通(Web)1 Char"/>
    <w:link w:val="1"/>
    <w:qFormat/>
    <w:uiPriority w:val="0"/>
    <w:rPr>
      <w:rFonts w:ascii="宋体" w:hAnsi="宋体" w:eastAsia="宋体" w:cs="Times New Roman"/>
      <w:sz w:val="24"/>
      <w:szCs w:val="24"/>
    </w:rPr>
  </w:style>
  <w:style w:type="character" w:customStyle="1" w:styleId="301">
    <w:name w:val="普通(网站) Char"/>
    <w:link w:val="53"/>
    <w:qFormat/>
    <w:uiPriority w:val="0"/>
    <w:rPr>
      <w:rFonts w:ascii="宋体" w:hAnsi="宋体" w:eastAsia="宋体" w:cs="Times New Roman"/>
      <w:sz w:val="24"/>
      <w:szCs w:val="24"/>
    </w:rPr>
  </w:style>
  <w:style w:type="character" w:customStyle="1" w:styleId="302">
    <w:name w:val="Char Char28"/>
    <w:link w:val="1"/>
    <w:qFormat/>
    <w:uiPriority w:val="0"/>
    <w:rPr>
      <w:rFonts w:ascii="黑体" w:hAnsi="Times New Roman" w:eastAsia="黑体" w:cs="Times New Roman"/>
      <w:b/>
      <w:bCs/>
      <w:sz w:val="32"/>
      <w:szCs w:val="32"/>
    </w:rPr>
  </w:style>
  <w:style w:type="character" w:customStyle="1" w:styleId="303">
    <w:name w:val="Char Char Char Char Char Char Char Char Char Char Char Char Char"/>
    <w:link w:val="1"/>
    <w:qFormat/>
    <w:uiPriority w:val="0"/>
    <w:rPr>
      <w:rFonts w:ascii="Times New Roman" w:hAnsi="Times New Roman" w:eastAsia="宋体" w:cs="Times New Roman"/>
      <w:b/>
      <w:bCs/>
      <w:sz w:val="32"/>
      <w:szCs w:val="44"/>
      <w:lang w:val="en-US" w:eastAsia="zh-CN"/>
    </w:rPr>
  </w:style>
  <w:style w:type="character" w:customStyle="1" w:styleId="304">
    <w:name w:val="Char Char7"/>
    <w:link w:val="1"/>
    <w:qFormat/>
    <w:uiPriority w:val="0"/>
    <w:rPr>
      <w:rFonts w:ascii="Times New Roman" w:hAnsi="Times New Roman" w:eastAsia="宋体" w:cs="Times New Roman"/>
      <w:b/>
      <w:bCs/>
      <w:szCs w:val="21"/>
    </w:rPr>
  </w:style>
  <w:style w:type="character" w:customStyle="1" w:styleId="305">
    <w:name w:val="批注主题 Char"/>
    <w:link w:val="58"/>
    <w:qFormat/>
    <w:uiPriority w:val="0"/>
    <w:rPr>
      <w:rFonts w:ascii="Times New Roman" w:hAnsi="Times New Roman" w:eastAsia="宋体" w:cs="Times New Roman"/>
      <w:b/>
      <w:bCs/>
      <w:sz w:val="21"/>
      <w:szCs w:val="24"/>
    </w:rPr>
  </w:style>
  <w:style w:type="character" w:customStyle="1" w:styleId="306">
    <w:name w:val="Char Char191"/>
    <w:link w:val="1"/>
    <w:qFormat/>
    <w:uiPriority w:val="0"/>
    <w:rPr>
      <w:rFonts w:ascii="Arial" w:hAnsi="Arial" w:eastAsia="宋体" w:cs="Arial"/>
      <w:b/>
      <w:bCs/>
      <w:sz w:val="32"/>
      <w:szCs w:val="32"/>
    </w:rPr>
  </w:style>
  <w:style w:type="character" w:customStyle="1" w:styleId="307">
    <w:name w:val="表格正文 Char Char"/>
    <w:link w:val="308"/>
    <w:qFormat/>
    <w:uiPriority w:val="0"/>
    <w:rPr>
      <w:rFonts w:ascii="Times New Roman" w:hAnsi="Times New Roman" w:eastAsia="宋体" w:cs="Times New Roman"/>
      <w:sz w:val="21"/>
      <w:szCs w:val="24"/>
    </w:rPr>
  </w:style>
  <w:style w:type="paragraph" w:customStyle="1" w:styleId="308">
    <w:name w:val="表格正文"/>
    <w:basedOn w:val="1"/>
    <w:link w:val="307"/>
    <w:qFormat/>
    <w:uiPriority w:val="0"/>
  </w:style>
  <w:style w:type="character" w:customStyle="1" w:styleId="309">
    <w:name w:val="Char Char4"/>
    <w:link w:val="1"/>
    <w:qFormat/>
    <w:uiPriority w:val="0"/>
    <w:rPr>
      <w:rFonts w:ascii="Times New Roman" w:hAnsi="Times New Roman" w:eastAsia="宋体" w:cs="Times New Roman"/>
      <w:sz w:val="18"/>
      <w:szCs w:val="18"/>
    </w:rPr>
  </w:style>
  <w:style w:type="character" w:customStyle="1" w:styleId="310">
    <w:name w:val="apple-style-span"/>
    <w:link w:val="1"/>
    <w:qFormat/>
    <w:uiPriority w:val="0"/>
    <w:rPr>
      <w:rFonts w:ascii="Times New Roman" w:hAnsi="Times New Roman" w:eastAsia="宋体" w:cs="Times New Roman"/>
    </w:rPr>
  </w:style>
  <w:style w:type="character" w:customStyle="1" w:styleId="311">
    <w:name w:val="Char Char24"/>
    <w:link w:val="1"/>
    <w:qFormat/>
    <w:uiPriority w:val="0"/>
    <w:rPr>
      <w:rFonts w:ascii="Arial" w:hAnsi="Arial" w:eastAsia="黑体" w:cs="Times New Roman"/>
      <w:sz w:val="24"/>
      <w:szCs w:val="24"/>
    </w:rPr>
  </w:style>
  <w:style w:type="character" w:customStyle="1" w:styleId="312">
    <w:name w:val="style331"/>
    <w:link w:val="1"/>
    <w:qFormat/>
    <w:uiPriority w:val="0"/>
    <w:rPr>
      <w:rFonts w:ascii="Times New Roman" w:hAnsi="Times New Roman" w:eastAsia="宋体" w:cs="Times New Roman"/>
      <w:color w:val="9900FF"/>
      <w:sz w:val="18"/>
      <w:szCs w:val="18"/>
    </w:rPr>
  </w:style>
  <w:style w:type="character" w:customStyle="1" w:styleId="313">
    <w:name w:val="Char Char251"/>
    <w:link w:val="1"/>
    <w:qFormat/>
    <w:uiPriority w:val="0"/>
    <w:rPr>
      <w:rFonts w:ascii="Times New Roman" w:hAnsi="Times New Roman" w:eastAsia="宋体" w:cs="Times New Roman"/>
      <w:b/>
      <w:sz w:val="24"/>
      <w:szCs w:val="24"/>
    </w:rPr>
  </w:style>
  <w:style w:type="character" w:customStyle="1" w:styleId="314">
    <w:name w:val="纯文本 Char"/>
    <w:link w:val="28"/>
    <w:qFormat/>
    <w:uiPriority w:val="0"/>
    <w:rPr>
      <w:rFonts w:ascii="宋体" w:hAnsi="Courier New" w:eastAsia="宋体" w:cs="Times New Roman"/>
      <w:sz w:val="21"/>
      <w:szCs w:val="21"/>
    </w:rPr>
  </w:style>
  <w:style w:type="character" w:customStyle="1" w:styleId="315">
    <w:name w:val="Char Char231"/>
    <w:link w:val="1"/>
    <w:qFormat/>
    <w:uiPriority w:val="0"/>
    <w:rPr>
      <w:rFonts w:ascii="Arial" w:hAnsi="Arial" w:eastAsia="黑体" w:cs="Times New Roman"/>
      <w:sz w:val="21"/>
      <w:szCs w:val="24"/>
    </w:rPr>
  </w:style>
  <w:style w:type="character" w:customStyle="1" w:styleId="316">
    <w:name w:val="样式 三号 下划线"/>
    <w:link w:val="1"/>
    <w:qFormat/>
    <w:uiPriority w:val="0"/>
    <w:rPr>
      <w:rFonts w:ascii="Times New Roman" w:hAnsi="Times New Roman" w:eastAsia="宋体" w:cs="Times New Roman"/>
      <w:sz w:val="28"/>
      <w:u w:val="single"/>
    </w:rPr>
  </w:style>
  <w:style w:type="character" w:customStyle="1" w:styleId="317">
    <w:name w:val="正文文本缩进 3 Char"/>
    <w:link w:val="41"/>
    <w:qFormat/>
    <w:uiPriority w:val="0"/>
    <w:rPr>
      <w:rFonts w:ascii="仿宋_GB2312" w:hAnsi="Times New Roman" w:eastAsia="仿宋_GB2312" w:cs="Times New Roman"/>
      <w:sz w:val="32"/>
    </w:rPr>
  </w:style>
  <w:style w:type="character" w:customStyle="1" w:styleId="318">
    <w:name w:val="Para head"/>
    <w:link w:val="1"/>
    <w:qFormat/>
    <w:uiPriority w:val="0"/>
    <w:rPr>
      <w:rFonts w:ascii="Arial" w:hAnsi="Arial" w:eastAsia="Times New Roman" w:cs="Times New Roman"/>
      <w:sz w:val="20"/>
    </w:rPr>
  </w:style>
  <w:style w:type="character" w:customStyle="1" w:styleId="319">
    <w:name w:val="Char Char26"/>
    <w:link w:val="1"/>
    <w:qFormat/>
    <w:uiPriority w:val="0"/>
    <w:rPr>
      <w:rFonts w:ascii="Arial" w:hAnsi="Arial" w:eastAsia="黑体" w:cs="Times New Roman"/>
      <w:b/>
      <w:sz w:val="24"/>
      <w:szCs w:val="24"/>
    </w:rPr>
  </w:style>
  <w:style w:type="character" w:customStyle="1" w:styleId="320">
    <w:name w:val="Char Char17"/>
    <w:link w:val="1"/>
    <w:qFormat/>
    <w:uiPriority w:val="0"/>
    <w:rPr>
      <w:rFonts w:ascii="黑体" w:hAnsi="Courier New" w:eastAsia="黑体" w:cs="Times New Roman"/>
    </w:rPr>
  </w:style>
  <w:style w:type="character" w:customStyle="1" w:styleId="321">
    <w:name w:val="HTML 预设格式 Char"/>
    <w:link w:val="52"/>
    <w:qFormat/>
    <w:uiPriority w:val="0"/>
    <w:rPr>
      <w:rFonts w:ascii="黑体" w:hAnsi="Courier New" w:eastAsia="黑体" w:cs="Times New Roman"/>
    </w:rPr>
  </w:style>
  <w:style w:type="character" w:customStyle="1" w:styleId="322">
    <w:name w:val="Char Char171"/>
    <w:link w:val="1"/>
    <w:qFormat/>
    <w:uiPriority w:val="0"/>
    <w:rPr>
      <w:rFonts w:ascii="黑体" w:hAnsi="Courier New" w:eastAsia="黑体" w:cs="Times New Roman"/>
    </w:rPr>
  </w:style>
  <w:style w:type="character" w:customStyle="1" w:styleId="323">
    <w:name w:val="NormalCharacter1"/>
    <w:link w:val="1"/>
    <w:qFormat/>
    <w:uiPriority w:val="0"/>
    <w:rPr>
      <w:rFonts w:ascii="Times New Roman" w:hAnsi="Times New Roman" w:eastAsia="宋体"/>
    </w:rPr>
  </w:style>
  <w:style w:type="character" w:customStyle="1" w:styleId="324">
    <w:name w:val="apple-converted-space"/>
    <w:link w:val="1"/>
    <w:qFormat/>
    <w:uiPriority w:val="0"/>
    <w:rPr>
      <w:rFonts w:ascii="Times New Roman" w:hAnsi="Times New Roman" w:eastAsia="宋体" w:cs="Times New Roman"/>
    </w:rPr>
  </w:style>
  <w:style w:type="character" w:customStyle="1" w:styleId="325">
    <w:name w:val="正文文本 2 Char"/>
    <w:link w:val="47"/>
    <w:qFormat/>
    <w:uiPriority w:val="0"/>
    <w:rPr>
      <w:rFonts w:ascii="Times New Roman" w:hAnsi="Times New Roman" w:eastAsia="宋体" w:cs="Times New Roman"/>
      <w:sz w:val="30"/>
      <w:szCs w:val="24"/>
    </w:rPr>
  </w:style>
  <w:style w:type="character" w:customStyle="1" w:styleId="326">
    <w:name w:val="正文 + 宋体 Char Char"/>
    <w:link w:val="327"/>
    <w:qFormat/>
    <w:uiPriority w:val="0"/>
    <w:rPr>
      <w:rFonts w:ascii="新宋体" w:hAnsi="宋体" w:eastAsia="黑体" w:cs="Times New Roman"/>
      <w:b/>
      <w:bCs/>
      <w:sz w:val="28"/>
      <w:szCs w:val="28"/>
    </w:rPr>
  </w:style>
  <w:style w:type="paragraph" w:customStyle="1" w:styleId="327">
    <w:name w:val="正文 + 宋体"/>
    <w:basedOn w:val="218"/>
    <w:link w:val="326"/>
    <w:qFormat/>
    <w:uiPriority w:val="0"/>
    <w:pPr>
      <w:widowControl/>
      <w:spacing w:before="120" w:after="120" w:line="240" w:lineRule="auto"/>
      <w:ind w:left="-51" w:firstLine="0"/>
    </w:pPr>
    <w:rPr>
      <w:rFonts w:ascii="新宋体" w:hAnsi="宋体"/>
      <w:sz w:val="28"/>
      <w:szCs w:val="28"/>
    </w:rPr>
  </w:style>
  <w:style w:type="character" w:customStyle="1" w:styleId="328">
    <w:name w:val="l15 Char Char"/>
    <w:link w:val="329"/>
    <w:qFormat/>
    <w:uiPriority w:val="0"/>
    <w:rPr>
      <w:rFonts w:eastAsia="宋体" w:cs="Times New Roman"/>
      <w:color w:val="000000"/>
      <w:sz w:val="23"/>
      <w:szCs w:val="23"/>
    </w:rPr>
  </w:style>
  <w:style w:type="paragraph" w:customStyle="1" w:styleId="329">
    <w:name w:val="l15"/>
    <w:basedOn w:val="1"/>
    <w:link w:val="328"/>
    <w:qFormat/>
    <w:uiPriority w:val="0"/>
    <w:pPr>
      <w:widowControl/>
      <w:spacing w:before="100" w:beforeAutospacing="1" w:after="100" w:afterAutospacing="1" w:line="300" w:lineRule="atLeast"/>
      <w:jc w:val="left"/>
    </w:pPr>
    <w:rPr>
      <w:color w:val="000000"/>
      <w:sz w:val="23"/>
      <w:szCs w:val="23"/>
    </w:rPr>
  </w:style>
  <w:style w:type="character" w:customStyle="1" w:styleId="330">
    <w:name w:val="Char Char19"/>
    <w:link w:val="1"/>
    <w:qFormat/>
    <w:uiPriority w:val="0"/>
    <w:rPr>
      <w:rFonts w:ascii="Arial" w:hAnsi="Arial" w:eastAsia="宋体" w:cs="Arial"/>
      <w:b/>
      <w:bCs/>
      <w:sz w:val="32"/>
      <w:szCs w:val="32"/>
    </w:rPr>
  </w:style>
  <w:style w:type="character" w:customStyle="1" w:styleId="331">
    <w:name w:val="信息标题 Char"/>
    <w:link w:val="50"/>
    <w:qFormat/>
    <w:uiPriority w:val="0"/>
    <w:rPr>
      <w:rFonts w:ascii="Garamond" w:hAnsi="Garamond" w:eastAsia="宋体" w:cs="Times New Roman"/>
      <w:color w:val="000000"/>
      <w:spacing w:val="-8"/>
      <w:sz w:val="18"/>
      <w:szCs w:val="28"/>
    </w:rPr>
  </w:style>
  <w:style w:type="character" w:customStyle="1" w:styleId="332">
    <w:name w:val="Char Char Char"/>
    <w:link w:val="333"/>
    <w:qFormat/>
    <w:uiPriority w:val="0"/>
    <w:rPr>
      <w:sz w:val="24"/>
      <w:szCs w:val="24"/>
    </w:rPr>
  </w:style>
  <w:style w:type="paragraph" w:customStyle="1" w:styleId="333">
    <w:name w:val="Char"/>
    <w:basedOn w:val="1"/>
    <w:link w:val="332"/>
    <w:qFormat/>
    <w:uiPriority w:val="0"/>
    <w:pPr>
      <w:tabs>
        <w:tab w:val="left" w:pos="1080"/>
      </w:tabs>
      <w:ind w:left="552" w:hanging="420"/>
    </w:pPr>
    <w:rPr>
      <w:sz w:val="24"/>
    </w:rPr>
  </w:style>
  <w:style w:type="character" w:customStyle="1" w:styleId="334">
    <w:name w:val="Char Char241"/>
    <w:link w:val="1"/>
    <w:qFormat/>
    <w:uiPriority w:val="0"/>
    <w:rPr>
      <w:rFonts w:ascii="Arial" w:hAnsi="Arial" w:eastAsia="黑体" w:cs="Times New Roman"/>
      <w:sz w:val="24"/>
      <w:szCs w:val="24"/>
    </w:rPr>
  </w:style>
  <w:style w:type="character" w:customStyle="1" w:styleId="335">
    <w:name w:val="Char Char23"/>
    <w:link w:val="1"/>
    <w:qFormat/>
    <w:uiPriority w:val="0"/>
    <w:rPr>
      <w:rFonts w:ascii="Arial" w:hAnsi="Arial" w:eastAsia="黑体" w:cs="Times New Roman"/>
      <w:sz w:val="21"/>
      <w:szCs w:val="24"/>
    </w:rPr>
  </w:style>
  <w:style w:type="character" w:customStyle="1" w:styleId="336">
    <w:name w:val="Char Char281"/>
    <w:link w:val="1"/>
    <w:qFormat/>
    <w:uiPriority w:val="0"/>
    <w:rPr>
      <w:rFonts w:ascii="黑体" w:hAnsi="Times New Roman" w:eastAsia="黑体" w:cs="Times New Roman"/>
      <w:b/>
      <w:bCs/>
      <w:sz w:val="32"/>
      <w:szCs w:val="32"/>
    </w:rPr>
  </w:style>
  <w:style w:type="character" w:customStyle="1" w:styleId="337">
    <w:name w:val="Char Char15"/>
    <w:link w:val="1"/>
    <w:qFormat/>
    <w:uiPriority w:val="0"/>
    <w:rPr>
      <w:rFonts w:ascii="仿宋_GB2312" w:hAnsi="Times New Roman" w:eastAsia="宋体" w:cs="Times New Roman"/>
      <w:sz w:val="24"/>
      <w:szCs w:val="24"/>
      <w:shd w:val="clear" w:color="auto" w:fill="000080"/>
    </w:rPr>
  </w:style>
  <w:style w:type="character" w:customStyle="1" w:styleId="338">
    <w:name w:val="标题 Char1"/>
    <w:link w:val="1"/>
    <w:qFormat/>
    <w:uiPriority w:val="0"/>
    <w:rPr>
      <w:rFonts w:ascii="Cambria" w:hAnsi="Cambria" w:eastAsia="宋体" w:cs="Times New Roman"/>
      <w:b/>
      <w:bCs/>
      <w:sz w:val="32"/>
      <w:szCs w:val="32"/>
    </w:rPr>
  </w:style>
  <w:style w:type="character" w:customStyle="1" w:styleId="339">
    <w:name w:val="Char Char9"/>
    <w:link w:val="1"/>
    <w:qFormat/>
    <w:uiPriority w:val="0"/>
    <w:rPr>
      <w:rFonts w:ascii="Cambria" w:hAnsi="Cambria" w:eastAsia="宋体" w:cs="Times New Roman"/>
      <w:b/>
      <w:bCs/>
      <w:sz w:val="32"/>
      <w:szCs w:val="32"/>
    </w:rPr>
  </w:style>
  <w:style w:type="character" w:customStyle="1" w:styleId="340">
    <w:name w:val="标题 311"/>
    <w:link w:val="1"/>
    <w:qFormat/>
    <w:uiPriority w:val="0"/>
    <w:rPr>
      <w:rFonts w:hint="eastAsia" w:ascii="黑体" w:hAnsi="ˎ̥" w:eastAsia="黑体" w:cs="Times New Roman"/>
      <w:sz w:val="28"/>
    </w:rPr>
  </w:style>
  <w:style w:type="character" w:customStyle="1" w:styleId="341">
    <w:name w:val="日期 Char"/>
    <w:link w:val="342"/>
    <w:qFormat/>
    <w:uiPriority w:val="0"/>
    <w:rPr>
      <w:rFonts w:ascii="楷体_GB2312" w:hAnsi="Times New Roman" w:eastAsia="楷体_GB2312" w:cs="Times New Roman"/>
      <w:b/>
      <w:sz w:val="28"/>
      <w:szCs w:val="24"/>
    </w:rPr>
  </w:style>
  <w:style w:type="paragraph" w:customStyle="1" w:styleId="342">
    <w:name w:val="Date1"/>
    <w:basedOn w:val="1"/>
    <w:next w:val="1"/>
    <w:link w:val="341"/>
    <w:qFormat/>
    <w:uiPriority w:val="0"/>
    <w:pPr>
      <w:ind w:left="100"/>
    </w:pPr>
    <w:rPr>
      <w:rFonts w:ascii="楷体_GB2312" w:eastAsia="楷体_GB2312"/>
      <w:b/>
      <w:sz w:val="28"/>
    </w:rPr>
  </w:style>
  <w:style w:type="character" w:customStyle="1" w:styleId="343">
    <w:name w:val="普通正文 Char Char"/>
    <w:link w:val="344"/>
    <w:qFormat/>
    <w:uiPriority w:val="0"/>
    <w:rPr>
      <w:rFonts w:ascii="Arial" w:hAnsi="Arial" w:eastAsia="宋体" w:cs="Times New Roman"/>
      <w:sz w:val="24"/>
      <w:szCs w:val="24"/>
    </w:rPr>
  </w:style>
  <w:style w:type="paragraph" w:customStyle="1" w:styleId="344">
    <w:name w:val="普通正文"/>
    <w:basedOn w:val="1"/>
    <w:link w:val="343"/>
    <w:qFormat/>
    <w:uiPriority w:val="0"/>
    <w:pPr>
      <w:spacing w:before="120" w:after="120" w:line="500" w:lineRule="exact"/>
      <w:ind w:firstLine="480"/>
    </w:pPr>
    <w:rPr>
      <w:rFonts w:ascii="Arial" w:hAnsi="Arial"/>
      <w:sz w:val="24"/>
    </w:rPr>
  </w:style>
  <w:style w:type="character" w:customStyle="1" w:styleId="345">
    <w:name w:val="tw4winTerm"/>
    <w:link w:val="1"/>
    <w:qFormat/>
    <w:uiPriority w:val="0"/>
    <w:rPr>
      <w:rFonts w:ascii="Times New Roman" w:hAnsi="Times New Roman" w:eastAsia="宋体" w:cs="Times New Roman"/>
      <w:color w:val="0000FF"/>
    </w:rPr>
  </w:style>
  <w:style w:type="character" w:customStyle="1" w:styleId="346">
    <w:name w:val="Char Char261"/>
    <w:link w:val="1"/>
    <w:qFormat/>
    <w:uiPriority w:val="0"/>
    <w:rPr>
      <w:rFonts w:ascii="Arial" w:hAnsi="Arial" w:eastAsia="黑体" w:cs="Times New Roman"/>
      <w:b/>
      <w:sz w:val="24"/>
      <w:szCs w:val="24"/>
    </w:rPr>
  </w:style>
  <w:style w:type="character" w:customStyle="1" w:styleId="347">
    <w:name w:val="text_list1"/>
    <w:link w:val="1"/>
    <w:qFormat/>
    <w:uiPriority w:val="0"/>
    <w:rPr>
      <w:rFonts w:ascii="Arial" w:hAnsi="Arial" w:eastAsia="宋体" w:cs="Arial"/>
      <w:color w:val="000000"/>
      <w:spacing w:val="272"/>
      <w:sz w:val="16"/>
      <w:szCs w:val="16"/>
    </w:rPr>
  </w:style>
  <w:style w:type="character" w:customStyle="1" w:styleId="348">
    <w:name w:val="正文缩进 Char"/>
    <w:link w:val="5"/>
    <w:qFormat/>
    <w:uiPriority w:val="0"/>
    <w:rPr>
      <w:rFonts w:ascii="Times New Roman" w:hAnsi="Times New Roman" w:eastAsia="宋体" w:cs="Times New Roman"/>
      <w:lang w:val="en-US" w:eastAsia="zh-CN"/>
    </w:rPr>
  </w:style>
  <w:style w:type="character" w:customStyle="1" w:styleId="349">
    <w:name w:val="+正文 Char3"/>
    <w:link w:val="350"/>
    <w:qFormat/>
    <w:uiPriority w:val="0"/>
    <w:rPr>
      <w:rFonts w:ascii="Times New Roman" w:hAnsi="Times New Roman" w:eastAsia="宋体" w:cs="Times New Roman"/>
      <w:sz w:val="24"/>
      <w:szCs w:val="28"/>
    </w:rPr>
  </w:style>
  <w:style w:type="paragraph" w:customStyle="1" w:styleId="350">
    <w:name w:val="+正文"/>
    <w:basedOn w:val="1"/>
    <w:link w:val="349"/>
    <w:qFormat/>
    <w:uiPriority w:val="0"/>
    <w:pPr>
      <w:spacing w:line="360" w:lineRule="auto"/>
      <w:ind w:firstLine="200"/>
    </w:pPr>
    <w:rPr>
      <w:sz w:val="24"/>
      <w:szCs w:val="28"/>
    </w:rPr>
  </w:style>
  <w:style w:type="character" w:customStyle="1" w:styleId="351">
    <w:name w:val="Char Char13"/>
    <w:link w:val="1"/>
    <w:qFormat/>
    <w:uiPriority w:val="0"/>
    <w:rPr>
      <w:rFonts w:ascii="仿宋_GB2312" w:hAnsi="Times New Roman" w:eastAsia="宋体" w:cs="Times New Roman"/>
      <w:sz w:val="18"/>
      <w:szCs w:val="18"/>
    </w:rPr>
  </w:style>
  <w:style w:type="character" w:customStyle="1" w:styleId="352">
    <w:name w:val="font"/>
    <w:link w:val="1"/>
    <w:qFormat/>
    <w:uiPriority w:val="0"/>
    <w:rPr>
      <w:rFonts w:ascii="Times New Roman" w:hAnsi="Times New Roman" w:eastAsia="宋体" w:cs="Times New Roman"/>
    </w:rPr>
  </w:style>
  <w:style w:type="character" w:customStyle="1" w:styleId="353">
    <w:name w:val="unnamed21"/>
    <w:link w:val="1"/>
    <w:qFormat/>
    <w:uiPriority w:val="0"/>
    <w:rPr>
      <w:rFonts w:ascii="Times New Roman" w:hAnsi="Times New Roman" w:eastAsia="宋体" w:cs="Times New Roman"/>
      <w:b/>
      <w:bCs/>
      <w:color w:val="FF6600"/>
      <w:sz w:val="21"/>
      <w:szCs w:val="21"/>
      <w:u w:val="none"/>
    </w:rPr>
  </w:style>
  <w:style w:type="character" w:customStyle="1" w:styleId="354">
    <w:name w:val="表格 Char Char"/>
    <w:link w:val="355"/>
    <w:qFormat/>
    <w:uiPriority w:val="0"/>
    <w:rPr>
      <w:rFonts w:ascii="Times New Roman" w:hAnsi="Times New Roman" w:eastAsia="宋体" w:cs="Times New Roman"/>
      <w:sz w:val="21"/>
      <w:szCs w:val="21"/>
      <w:lang w:val="en-US" w:eastAsia="zh-CN"/>
    </w:rPr>
  </w:style>
  <w:style w:type="paragraph" w:customStyle="1" w:styleId="355">
    <w:name w:val="表格"/>
    <w:basedOn w:val="1"/>
    <w:link w:val="354"/>
    <w:qFormat/>
    <w:uiPriority w:val="0"/>
    <w:pPr>
      <w:jc w:val="center"/>
    </w:pPr>
    <w:rPr>
      <w:szCs w:val="21"/>
    </w:rPr>
  </w:style>
  <w:style w:type="character" w:customStyle="1" w:styleId="356">
    <w:name w:val="Char Char14"/>
    <w:link w:val="1"/>
    <w:qFormat/>
    <w:uiPriority w:val="0"/>
    <w:rPr>
      <w:rFonts w:ascii="楷体_GB2312" w:hAnsi="Arial" w:eastAsia="楷体_GB2312" w:cs="Times New Roman"/>
      <w:sz w:val="28"/>
      <w:szCs w:val="24"/>
    </w:rPr>
  </w:style>
  <w:style w:type="paragraph" w:customStyle="1" w:styleId="357">
    <w:name w:val="简介正文"/>
    <w:basedOn w:val="1"/>
    <w:qFormat/>
    <w:uiPriority w:val="0"/>
    <w:pPr>
      <w:spacing w:after="20" w:line="520" w:lineRule="exact"/>
      <w:ind w:left="1701" w:hanging="1701"/>
    </w:pPr>
    <w:rPr>
      <w:sz w:val="24"/>
      <w:szCs w:val="20"/>
    </w:rPr>
  </w:style>
  <w:style w:type="paragraph" w:customStyle="1" w:styleId="35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9">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0">
    <w:name w:val="Char Char Char Char Char Char Char Char Char Char Char Char Char Char Char Char"/>
    <w:basedOn w:val="1"/>
    <w:qFormat/>
    <w:uiPriority w:val="0"/>
    <w:pPr>
      <w:tabs>
        <w:tab w:val="left" w:pos="360"/>
      </w:tabs>
    </w:pPr>
    <w:rPr>
      <w:sz w:val="24"/>
    </w:rPr>
  </w:style>
  <w:style w:type="paragraph" w:customStyle="1" w:styleId="361">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62">
    <w:name w:val="Char Char Char Char Char Char Char1 Char"/>
    <w:basedOn w:val="1"/>
    <w:qFormat/>
    <w:uiPriority w:val="0"/>
    <w:rPr>
      <w:rFonts w:ascii="Tahoma" w:hAnsi="Tahoma"/>
      <w:sz w:val="24"/>
      <w:szCs w:val="20"/>
    </w:rPr>
  </w:style>
  <w:style w:type="paragraph" w:customStyle="1" w:styleId="363">
    <w:name w:val="Char Char Char Char Char Char Char Char Char Char1"/>
    <w:basedOn w:val="1"/>
    <w:qFormat/>
    <w:uiPriority w:val="0"/>
    <w:pPr>
      <w:tabs>
        <w:tab w:val="left" w:pos="425"/>
      </w:tabs>
      <w:ind w:left="425" w:hanging="425"/>
    </w:pPr>
    <w:rPr>
      <w:sz w:val="28"/>
      <w:szCs w:val="20"/>
    </w:rPr>
  </w:style>
  <w:style w:type="paragraph" w:customStyle="1" w:styleId="364">
    <w:name w:val="样式 小四 段前: 5 磅 段后: 5 磅 首行缩进:  2 字符"/>
    <w:basedOn w:val="1"/>
    <w:qFormat/>
    <w:uiPriority w:val="0"/>
    <w:pPr>
      <w:spacing w:line="360" w:lineRule="auto"/>
    </w:pPr>
    <w:rPr>
      <w:rFonts w:ascii="宋体" w:hAnsi="宋体"/>
      <w:szCs w:val="21"/>
    </w:rPr>
  </w:style>
  <w:style w:type="paragraph" w:customStyle="1" w:styleId="365">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66">
    <w:name w:val="无编号条款"/>
    <w:basedOn w:val="1"/>
    <w:qFormat/>
    <w:uiPriority w:val="0"/>
    <w:pPr>
      <w:spacing w:line="400" w:lineRule="exact"/>
      <w:ind w:firstLine="200"/>
    </w:pPr>
    <w:rPr>
      <w:rFonts w:ascii="宋体" w:hAnsi="宋体"/>
    </w:rPr>
  </w:style>
  <w:style w:type="paragraph" w:customStyle="1" w:styleId="36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6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9">
    <w:name w:val="列表2"/>
    <w:basedOn w:val="1"/>
    <w:qFormat/>
    <w:uiPriority w:val="0"/>
    <w:pPr>
      <w:tabs>
        <w:tab w:val="left" w:pos="1470"/>
      </w:tabs>
      <w:spacing w:after="20" w:line="288" w:lineRule="auto"/>
      <w:ind w:left="1469" w:hanging="420"/>
    </w:pPr>
  </w:style>
  <w:style w:type="paragraph" w:customStyle="1" w:styleId="370">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71">
    <w:name w:val="正文1"/>
    <w:qFormat/>
    <w:uiPriority w:val="0"/>
    <w:pPr>
      <w:widowControl w:val="0"/>
      <w:spacing w:line="312" w:lineRule="atLeast"/>
      <w:jc w:val="both"/>
    </w:pPr>
    <w:rPr>
      <w:rFonts w:hint="default" w:ascii="Times New Roman" w:hAnsi="Times New Roman" w:eastAsia="宋体" w:cs="Times New Roman"/>
      <w:sz w:val="34"/>
      <w:lang w:val="en-US" w:eastAsia="zh-CN" w:bidi="ar-SA"/>
    </w:rPr>
  </w:style>
  <w:style w:type="paragraph" w:customStyle="1" w:styleId="372">
    <w:name w:val="程序代码"/>
    <w:basedOn w:val="1"/>
    <w:qFormat/>
    <w:uiPriority w:val="0"/>
    <w:pPr>
      <w:spacing w:after="20" w:line="288" w:lineRule="auto"/>
      <w:ind w:left="839" w:firstLine="420"/>
    </w:pPr>
    <w:rPr>
      <w:rFonts w:eastAsia="仿宋_GB2312"/>
    </w:rPr>
  </w:style>
  <w:style w:type="paragraph" w:customStyle="1" w:styleId="373">
    <w:name w:val="列出段落2"/>
    <w:basedOn w:val="1"/>
    <w:qFormat/>
    <w:uiPriority w:val="0"/>
    <w:pPr>
      <w:ind w:firstLine="420"/>
    </w:pPr>
    <w:rPr>
      <w:rFonts w:ascii="Calibri" w:hAnsi="Calibri"/>
      <w:szCs w:val="22"/>
    </w:rPr>
  </w:style>
  <w:style w:type="paragraph" w:customStyle="1" w:styleId="374">
    <w:name w:val="表蕊"/>
    <w:basedOn w:val="1"/>
    <w:qFormat/>
    <w:uiPriority w:val="0"/>
    <w:pPr>
      <w:spacing w:line="320" w:lineRule="atLeast"/>
      <w:jc w:val="left"/>
    </w:pPr>
    <w:rPr>
      <w:rFonts w:eastAsia="楷体_GB2312"/>
      <w:spacing w:val="-10"/>
      <w:szCs w:val="20"/>
    </w:rPr>
  </w:style>
  <w:style w:type="paragraph" w:customStyle="1" w:styleId="375">
    <w:name w:val="目录文字"/>
    <w:basedOn w:val="1"/>
    <w:qFormat/>
    <w:uiPriority w:val="0"/>
    <w:pPr>
      <w:widowControl/>
      <w:spacing w:line="480" w:lineRule="auto"/>
      <w:jc w:val="left"/>
    </w:pPr>
    <w:rPr>
      <w:rFonts w:ascii="宋体" w:hAnsi="宋体"/>
      <w:sz w:val="24"/>
      <w:szCs w:val="20"/>
    </w:rPr>
  </w:style>
  <w:style w:type="paragraph" w:customStyle="1" w:styleId="37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7">
    <w:name w:val="样式3"/>
    <w:basedOn w:val="28"/>
    <w:qFormat/>
    <w:uiPriority w:val="0"/>
    <w:pPr>
      <w:ind w:firstLine="448"/>
    </w:pPr>
    <w:rPr>
      <w:rFonts w:ascii="Times New Roman" w:hAnsi="Times New Roman" w:cs="Courier New"/>
      <w:color w:val="000000"/>
      <w:spacing w:val="-8"/>
    </w:rPr>
  </w:style>
  <w:style w:type="paragraph" w:customStyle="1" w:styleId="378">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379">
    <w:name w:val="样式 标题 1 + 加粗"/>
    <w:basedOn w:val="218"/>
    <w:qFormat/>
    <w:uiPriority w:val="0"/>
    <w:pPr>
      <w:widowControl/>
      <w:spacing w:before="120" w:after="120" w:line="240" w:lineRule="auto"/>
      <w:ind w:left="0" w:firstLine="0"/>
    </w:pPr>
    <w:rPr>
      <w:rFonts w:ascii="新宋体" w:hAnsi="宋体" w:eastAsia="宋体"/>
      <w:sz w:val="28"/>
      <w:szCs w:val="28"/>
    </w:rPr>
  </w:style>
  <w:style w:type="paragraph" w:customStyle="1" w:styleId="380">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2">
    <w:name w:val="菲页(卷)"/>
    <w:basedOn w:val="218"/>
    <w:next w:val="371"/>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383">
    <w:name w:val="Char Char Char Char11"/>
    <w:basedOn w:val="1"/>
    <w:qFormat/>
    <w:uiPriority w:val="0"/>
  </w:style>
  <w:style w:type="paragraph" w:customStyle="1" w:styleId="384">
    <w:name w:val="图形"/>
    <w:basedOn w:val="1"/>
    <w:qFormat/>
    <w:uiPriority w:val="0"/>
    <w:pPr>
      <w:spacing w:after="20" w:line="288" w:lineRule="auto"/>
      <w:ind w:firstLine="420"/>
      <w:jc w:val="center"/>
    </w:pPr>
  </w:style>
  <w:style w:type="paragraph" w:customStyle="1" w:styleId="385">
    <w:name w:val="表中"/>
    <w:basedOn w:val="1"/>
    <w:qFormat/>
    <w:uiPriority w:val="0"/>
    <w:pPr>
      <w:spacing w:line="360" w:lineRule="atLeast"/>
      <w:jc w:val="center"/>
    </w:pPr>
    <w:rPr>
      <w:szCs w:val="20"/>
    </w:rPr>
  </w:style>
  <w:style w:type="paragraph" w:customStyle="1" w:styleId="38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8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89">
    <w:name w:val="回信地址"/>
    <w:basedOn w:val="1"/>
    <w:qFormat/>
    <w:uiPriority w:val="0"/>
    <w:pPr>
      <w:keepLines/>
      <w:widowControl/>
      <w:spacing w:after="20" w:line="200" w:lineRule="atLeast"/>
      <w:ind w:right="-120" w:firstLine="420"/>
      <w:jc w:val="left"/>
    </w:pPr>
    <w:rPr>
      <w:sz w:val="16"/>
      <w:szCs w:val="20"/>
    </w:rPr>
  </w:style>
  <w:style w:type="paragraph" w:customStyle="1" w:styleId="39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1">
    <w:name w:val="table_lines"/>
    <w:basedOn w:val="1"/>
    <w:qFormat/>
    <w:uiPriority w:val="0"/>
    <w:pPr>
      <w:widowControl/>
      <w:jc w:val="left"/>
    </w:pPr>
    <w:rPr>
      <w:sz w:val="20"/>
      <w:szCs w:val="20"/>
    </w:rPr>
  </w:style>
  <w:style w:type="paragraph" w:customStyle="1" w:styleId="392">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3">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4">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95">
    <w:name w:val="函数注释1"/>
    <w:basedOn w:val="1"/>
    <w:qFormat/>
    <w:uiPriority w:val="0"/>
    <w:pPr>
      <w:spacing w:after="20" w:line="320" w:lineRule="exact"/>
      <w:ind w:left="1678" w:right="210" w:hanging="1049"/>
      <w:jc w:val="left"/>
    </w:pPr>
    <w:rPr>
      <w:szCs w:val="20"/>
    </w:rPr>
  </w:style>
  <w:style w:type="paragraph" w:customStyle="1" w:styleId="396">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397">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398">
    <w:name w:val="无间隔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9">
    <w:name w:val="章标题"/>
    <w:next w:val="1"/>
    <w:qFormat/>
    <w:uiPriority w:val="0"/>
    <w:pPr>
      <w:spacing w:before="156" w:after="156"/>
      <w:jc w:val="both"/>
      <w:outlineLvl w:val="1"/>
    </w:pPr>
    <w:rPr>
      <w:rFonts w:hint="default" w:ascii="黑体" w:hAnsi="Times New Roman" w:eastAsia="黑体" w:cs="Times New Roman"/>
      <w:sz w:val="21"/>
      <w:lang w:val="en-US" w:eastAsia="zh-CN" w:bidi="ar-SA"/>
    </w:rPr>
  </w:style>
  <w:style w:type="paragraph" w:customStyle="1" w:styleId="400">
    <w:name w:val="表格文字"/>
    <w:basedOn w:val="1"/>
    <w:qFormat/>
    <w:uiPriority w:val="0"/>
    <w:pPr>
      <w:spacing w:line="288" w:lineRule="auto"/>
      <w:jc w:val="left"/>
    </w:pPr>
    <w:rPr>
      <w:szCs w:val="20"/>
    </w:rPr>
  </w:style>
  <w:style w:type="paragraph" w:customStyle="1" w:styleId="401">
    <w:name w:val="List1"/>
    <w:basedOn w:val="1"/>
    <w:qFormat/>
    <w:uiPriority w:val="0"/>
    <w:pPr>
      <w:tabs>
        <w:tab w:val="left" w:pos="420"/>
      </w:tabs>
      <w:spacing w:after="20" w:line="288" w:lineRule="auto"/>
      <w:ind w:left="420" w:hanging="420"/>
    </w:pPr>
    <w:rPr>
      <w:szCs w:val="20"/>
    </w:rPr>
  </w:style>
  <w:style w:type="paragraph" w:customStyle="1" w:styleId="402">
    <w:name w:val="复选框1"/>
    <w:basedOn w:val="1"/>
    <w:qFormat/>
    <w:uiPriority w:val="0"/>
    <w:pPr>
      <w:widowControl/>
      <w:spacing w:before="360" w:after="360"/>
      <w:ind w:firstLine="448"/>
    </w:pPr>
    <w:rPr>
      <w:rFonts w:hAnsi="宋体"/>
      <w:color w:val="000000"/>
      <w:spacing w:val="-8"/>
      <w:sz w:val="20"/>
      <w:szCs w:val="20"/>
    </w:rPr>
  </w:style>
  <w:style w:type="paragraph" w:customStyle="1" w:styleId="40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04">
    <w:name w:val="Char Char Char Char1"/>
    <w:basedOn w:val="1"/>
    <w:qFormat/>
    <w:uiPriority w:val="0"/>
  </w:style>
  <w:style w:type="paragraph" w:customStyle="1" w:styleId="40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06">
    <w:name w:val="样式2"/>
    <w:basedOn w:val="220"/>
    <w:qFormat/>
    <w:uiPriority w:val="0"/>
    <w:pPr>
      <w:spacing w:before="0" w:after="0"/>
      <w:ind w:firstLine="448"/>
    </w:pPr>
    <w:rPr>
      <w:rFonts w:ascii="Times New Roman" w:hAnsi="宋体" w:eastAsia="宋体"/>
      <w:color w:val="000000"/>
      <w:spacing w:val="-8"/>
      <w:sz w:val="24"/>
    </w:rPr>
  </w:style>
  <w:style w:type="paragraph" w:styleId="407">
    <w:name w:val="List Paragraph"/>
    <w:basedOn w:val="1"/>
    <w:qFormat/>
    <w:uiPriority w:val="0"/>
    <w:pPr>
      <w:ind w:firstLine="420"/>
    </w:pPr>
  </w:style>
  <w:style w:type="paragraph" w:customStyle="1" w:styleId="408">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09">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1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11">
    <w:name w:val="菲页1"/>
    <w:basedOn w:val="219"/>
    <w:qFormat/>
    <w:uiPriority w:val="0"/>
    <w:pPr>
      <w:widowControl/>
      <w:ind w:left="0" w:firstLine="0"/>
      <w:jc w:val="center"/>
    </w:pPr>
    <w:rPr>
      <w:rFonts w:ascii="黑体" w:hAnsi="宋体" w:eastAsia="宋体"/>
      <w:b w:val="0"/>
      <w:bCs w:val="0"/>
      <w:sz w:val="52"/>
      <w:szCs w:val="20"/>
    </w:rPr>
  </w:style>
  <w:style w:type="paragraph" w:customStyle="1" w:styleId="412">
    <w:name w:val="正文(缩进)"/>
    <w:basedOn w:val="1"/>
    <w:qFormat/>
    <w:uiPriority w:val="0"/>
    <w:pPr>
      <w:widowControl/>
      <w:spacing w:line="360" w:lineRule="auto"/>
      <w:ind w:firstLine="200"/>
    </w:pPr>
    <w:rPr>
      <w:rFonts w:eastAsia="仿宋_GB2312"/>
      <w:sz w:val="24"/>
      <w:szCs w:val="20"/>
    </w:rPr>
  </w:style>
  <w:style w:type="paragraph" w:customStyle="1" w:styleId="413">
    <w:name w:val="Char1"/>
    <w:basedOn w:val="1"/>
    <w:qFormat/>
    <w:uiPriority w:val="0"/>
    <w:pPr>
      <w:ind w:firstLine="448"/>
    </w:pPr>
    <w:rPr>
      <w:rFonts w:ascii="宋体" w:hAnsi="宋体" w:eastAsia="仿宋_GB2312"/>
      <w:b/>
      <w:color w:val="000000"/>
      <w:spacing w:val="-8"/>
      <w:sz w:val="32"/>
      <w:szCs w:val="32"/>
    </w:rPr>
  </w:style>
  <w:style w:type="paragraph" w:customStyle="1" w:styleId="414">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15">
    <w:name w:val="样式一"/>
    <w:basedOn w:val="1"/>
    <w:qFormat/>
    <w:uiPriority w:val="0"/>
    <w:pPr>
      <w:tabs>
        <w:tab w:val="left" w:pos="1080"/>
      </w:tabs>
      <w:spacing w:before="100" w:after="100" w:line="360" w:lineRule="exact"/>
      <w:ind w:left="340" w:hanging="340"/>
    </w:pPr>
    <w:rPr>
      <w:rFonts w:ascii="宋体" w:hAnsi="宋体" w:eastAsia="黑体"/>
      <w:sz w:val="24"/>
      <w:szCs w:val="20"/>
    </w:rPr>
  </w:style>
  <w:style w:type="paragraph" w:customStyle="1" w:styleId="41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17">
    <w:name w:val="Javis"/>
    <w:basedOn w:val="1"/>
    <w:qFormat/>
    <w:uiPriority w:val="0"/>
    <w:pPr>
      <w:ind w:right="210"/>
    </w:pPr>
    <w:rPr>
      <w:rFonts w:cs="宋体"/>
      <w:sz w:val="24"/>
      <w:szCs w:val="20"/>
    </w:rPr>
  </w:style>
  <w:style w:type="paragraph" w:customStyle="1" w:styleId="418">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1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21">
    <w:name w:val="Char Char Char1 Char Char Char"/>
    <w:basedOn w:val="1"/>
    <w:qFormat/>
    <w:uiPriority w:val="0"/>
    <w:pPr>
      <w:ind w:firstLine="200"/>
    </w:pPr>
    <w:rPr>
      <w:rFonts w:ascii="Tahoma" w:hAnsi="Tahoma"/>
      <w:sz w:val="24"/>
      <w:szCs w:val="20"/>
    </w:rPr>
  </w:style>
  <w:style w:type="paragraph" w:customStyle="1" w:styleId="422">
    <w:name w:val="目录"/>
    <w:basedOn w:val="1"/>
    <w:next w:val="1"/>
    <w:qFormat/>
    <w:uiPriority w:val="0"/>
    <w:pPr>
      <w:spacing w:before="360" w:after="360" w:line="360" w:lineRule="auto"/>
      <w:ind w:firstLine="420"/>
      <w:jc w:val="center"/>
    </w:pPr>
    <w:rPr>
      <w:b/>
      <w:spacing w:val="200"/>
      <w:sz w:val="36"/>
      <w:szCs w:val="20"/>
    </w:rPr>
  </w:style>
  <w:style w:type="paragraph" w:customStyle="1" w:styleId="42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4">
    <w:name w:val="标准文字"/>
    <w:basedOn w:val="1"/>
    <w:qFormat/>
    <w:uiPriority w:val="0"/>
    <w:pPr>
      <w:spacing w:after="20" w:line="360" w:lineRule="auto"/>
      <w:ind w:firstLine="420"/>
    </w:pPr>
  </w:style>
  <w:style w:type="paragraph" w:customStyle="1" w:styleId="425">
    <w:name w:val="正文11"/>
    <w:qFormat/>
    <w:uiPriority w:val="0"/>
    <w:pPr>
      <w:widowControl w:val="0"/>
      <w:spacing w:line="312" w:lineRule="atLeast"/>
      <w:jc w:val="both"/>
    </w:pPr>
    <w:rPr>
      <w:rFonts w:hint="default" w:ascii="Times New Roman" w:hAnsi="Times New Roman" w:eastAsia="宋体" w:cs="Times New Roman"/>
      <w:sz w:val="34"/>
      <w:lang w:val="en-US" w:eastAsia="zh-CN" w:bidi="ar-SA"/>
    </w:rPr>
  </w:style>
  <w:style w:type="paragraph" w:customStyle="1" w:styleId="426">
    <w:name w:val="表头"/>
    <w:basedOn w:val="1"/>
    <w:qFormat/>
    <w:uiPriority w:val="0"/>
    <w:pPr>
      <w:spacing w:line="320" w:lineRule="atLeast"/>
      <w:jc w:val="center"/>
    </w:pPr>
    <w:rPr>
      <w:rFonts w:eastAsia="黑体"/>
      <w:spacing w:val="-10"/>
      <w:szCs w:val="20"/>
    </w:rPr>
  </w:style>
  <w:style w:type="paragraph" w:customStyle="1" w:styleId="427">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8">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29">
    <w:name w:val="List Paragraph1"/>
    <w:basedOn w:val="1"/>
    <w:qFormat/>
    <w:uiPriority w:val="0"/>
    <w:pPr>
      <w:ind w:firstLine="420"/>
    </w:pPr>
    <w:rPr>
      <w:rFonts w:ascii="Calibri" w:hAnsi="Calibri" w:cs="Calibri"/>
      <w:szCs w:val="21"/>
    </w:rPr>
  </w:style>
  <w:style w:type="paragraph" w:customStyle="1" w:styleId="43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3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32">
    <w:name w:val="样式 标题 2标题 2 Char Char + (西文) 仿宋_GB2312"/>
    <w:basedOn w:val="219"/>
    <w:qFormat/>
    <w:uiPriority w:val="0"/>
    <w:pPr>
      <w:spacing w:before="120" w:after="120" w:line="500" w:lineRule="exact"/>
      <w:ind w:left="0" w:right="-226" w:firstLine="448"/>
    </w:pPr>
    <w:rPr>
      <w:rFonts w:ascii="仿宋_GB2312" w:hAnsi="仿宋_GB2312" w:eastAsia="宋体"/>
      <w:color w:val="000000"/>
      <w:spacing w:val="-8"/>
      <w:sz w:val="28"/>
      <w:szCs w:val="28"/>
    </w:rPr>
  </w:style>
  <w:style w:type="paragraph" w:customStyle="1" w:styleId="433">
    <w:name w:val="名词解释"/>
    <w:basedOn w:val="1"/>
    <w:qFormat/>
    <w:uiPriority w:val="0"/>
    <w:pPr>
      <w:spacing w:after="20" w:line="288" w:lineRule="auto"/>
      <w:ind w:left="2325" w:hanging="2325"/>
    </w:pPr>
    <w:rPr>
      <w:szCs w:val="20"/>
    </w:rPr>
  </w:style>
  <w:style w:type="paragraph" w:customStyle="1" w:styleId="434">
    <w:name w:val="列表_名词"/>
    <w:basedOn w:val="435"/>
    <w:qFormat/>
    <w:uiPriority w:val="0"/>
    <w:pPr>
      <w:tabs>
        <w:tab w:val="left" w:pos="2745"/>
      </w:tabs>
      <w:ind w:left="2745" w:hanging="420"/>
    </w:pPr>
  </w:style>
  <w:style w:type="paragraph" w:customStyle="1" w:styleId="435">
    <w:name w:val="名词解释11"/>
    <w:basedOn w:val="433"/>
    <w:qFormat/>
    <w:uiPriority w:val="0"/>
    <w:pPr>
      <w:spacing w:after="0"/>
      <w:ind w:firstLine="0"/>
    </w:pPr>
  </w:style>
  <w:style w:type="paragraph" w:customStyle="1" w:styleId="436">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38">
    <w:name w:val="yyn"/>
    <w:basedOn w:val="1"/>
    <w:qFormat/>
    <w:uiPriority w:val="0"/>
    <w:pPr>
      <w:keepNext/>
      <w:widowControl/>
      <w:spacing w:line="360" w:lineRule="auto"/>
      <w:ind w:right="562" w:firstLine="576"/>
    </w:pPr>
    <w:rPr>
      <w:rFonts w:ascii="宋体"/>
      <w:sz w:val="28"/>
      <w:szCs w:val="20"/>
    </w:rPr>
  </w:style>
  <w:style w:type="paragraph" w:customStyle="1" w:styleId="43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40">
    <w:name w:val="标准式样"/>
    <w:basedOn w:val="45"/>
    <w:qFormat/>
    <w:uiPriority w:val="0"/>
  </w:style>
  <w:style w:type="paragraph" w:customStyle="1" w:styleId="441">
    <w:name w:val="列出段落1"/>
    <w:basedOn w:val="1"/>
    <w:qFormat/>
    <w:uiPriority w:val="0"/>
    <w:pPr>
      <w:ind w:firstLine="420"/>
    </w:pPr>
    <w:rPr>
      <w:rFonts w:ascii="Calibri" w:hAnsi="Calibri" w:cs="Calibri"/>
      <w:szCs w:val="21"/>
    </w:rPr>
  </w:style>
  <w:style w:type="paragraph" w:customStyle="1" w:styleId="44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43">
    <w:name w:val="修订1"/>
    <w:qFormat/>
    <w:uiPriority w:val="0"/>
    <w:rPr>
      <w:rFonts w:hint="default" w:ascii="Times New Roman" w:hAnsi="Times New Roman" w:eastAsia="宋体" w:cs="Times New Roman"/>
      <w:sz w:val="21"/>
      <w:szCs w:val="24"/>
      <w:lang w:val="en-US" w:eastAsia="zh-CN" w:bidi="ar-SA"/>
    </w:rPr>
  </w:style>
  <w:style w:type="paragraph" w:customStyle="1" w:styleId="444">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45">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46">
    <w:name w:val="列出段落11"/>
    <w:basedOn w:val="1"/>
    <w:qFormat/>
    <w:uiPriority w:val="0"/>
    <w:pPr>
      <w:ind w:firstLine="420"/>
    </w:pPr>
    <w:rPr>
      <w:rFonts w:ascii="Calibri" w:hAnsi="Calibri"/>
      <w:color w:val="000000"/>
      <w:spacing w:val="-8"/>
      <w:szCs w:val="22"/>
    </w:rPr>
  </w:style>
  <w:style w:type="paragraph" w:customStyle="1" w:styleId="447">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8">
    <w:name w:val="Char Char Char Char Char Char Char Char Char Char11"/>
    <w:basedOn w:val="1"/>
    <w:qFormat/>
    <w:uiPriority w:val="0"/>
    <w:pPr>
      <w:tabs>
        <w:tab w:val="left" w:pos="425"/>
      </w:tabs>
      <w:ind w:left="425" w:hanging="425"/>
    </w:pPr>
    <w:rPr>
      <w:sz w:val="28"/>
      <w:szCs w:val="20"/>
    </w:rPr>
  </w:style>
  <w:style w:type="paragraph" w:customStyle="1" w:styleId="449">
    <w:name w:val="Char Char Char Char"/>
    <w:basedOn w:val="1"/>
    <w:qFormat/>
    <w:uiPriority w:val="0"/>
    <w:rPr>
      <w:rFonts w:ascii="Tahoma" w:hAnsi="Tahoma"/>
      <w:sz w:val="24"/>
      <w:szCs w:val="20"/>
    </w:rPr>
  </w:style>
  <w:style w:type="paragraph" w:customStyle="1" w:styleId="45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52">
    <w:name w:val="标题0"/>
    <w:basedOn w:val="264"/>
    <w:next w:val="264"/>
    <w:qFormat/>
    <w:uiPriority w:val="0"/>
    <w:rPr>
      <w:rFonts w:ascii="Times New Roman" w:hAnsi="Times New Roman"/>
      <w:sz w:val="52"/>
    </w:rPr>
  </w:style>
  <w:style w:type="paragraph" w:customStyle="1" w:styleId="453">
    <w:name w:val="修订2"/>
    <w:qFormat/>
    <w:uiPriority w:val="0"/>
    <w:rPr>
      <w:rFonts w:hint="default" w:ascii="Times New Roman" w:hAnsi="Times New Roman" w:eastAsia="宋体" w:cs="Times New Roman"/>
      <w:sz w:val="21"/>
      <w:szCs w:val="24"/>
      <w:lang w:val="en-US" w:eastAsia="zh-CN" w:bidi="ar-SA"/>
    </w:rPr>
  </w:style>
  <w:style w:type="paragraph" w:customStyle="1" w:styleId="45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5">
    <w:name w:val="函数注释2"/>
    <w:basedOn w:val="1"/>
    <w:qFormat/>
    <w:uiPriority w:val="0"/>
    <w:pPr>
      <w:spacing w:after="20" w:line="288" w:lineRule="auto"/>
      <w:ind w:left="1680" w:firstLine="420"/>
    </w:pPr>
  </w:style>
  <w:style w:type="paragraph" w:customStyle="1" w:styleId="456">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57">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58">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5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60">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61">
    <w:name w:val="Char Char Char Char Char Char Char Char Char Char Char"/>
    <w:basedOn w:val="17"/>
    <w:qFormat/>
    <w:uiPriority w:val="0"/>
    <w:pPr>
      <w:ind w:firstLine="420"/>
    </w:pPr>
    <w:rPr>
      <w:rFonts w:ascii="Times New Roman" w:hAnsi="宋体"/>
      <w:color w:val="000000"/>
      <w:spacing w:val="-8"/>
      <w:szCs w:val="20"/>
      <w:shd w:val="clear" w:color="auto" w:fill="000080"/>
    </w:rPr>
  </w:style>
  <w:style w:type="paragraph" w:customStyle="1" w:styleId="462">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6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6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65">
    <w:name w:val="纯文本1"/>
    <w:basedOn w:val="1"/>
    <w:qFormat/>
    <w:uiPriority w:val="0"/>
    <w:rPr>
      <w:rFonts w:ascii="宋体" w:hAnsi="Courier New" w:eastAsia="仿宋" w:cs="Times New Roman"/>
      <w:szCs w:val="21"/>
    </w:rPr>
  </w:style>
  <w:style w:type="paragraph" w:customStyle="1" w:styleId="466">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467">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8">
    <w:name w:val="重点"/>
    <w:basedOn w:val="1"/>
    <w:qFormat/>
    <w:uiPriority w:val="0"/>
    <w:pPr>
      <w:shd w:val="pct10" w:color="auto" w:fill="auto"/>
      <w:spacing w:after="20" w:line="288" w:lineRule="auto"/>
      <w:ind w:firstLine="420"/>
    </w:pPr>
    <w:rPr>
      <w:rFonts w:eastAsia="黑体"/>
      <w:b/>
    </w:rPr>
  </w:style>
  <w:style w:type="paragraph" w:customStyle="1" w:styleId="469">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70">
    <w:name w:val="样式 标题 3 + (西文) 宋体 黑色"/>
    <w:basedOn w:val="220"/>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71">
    <w:name w:val="样式 纯文本 + 楷体_GB2312 小四 行距: 固定值 20 磅1"/>
    <w:basedOn w:val="28"/>
    <w:qFormat/>
    <w:uiPriority w:val="0"/>
    <w:pPr>
      <w:spacing w:line="400" w:lineRule="exact"/>
      <w:ind w:firstLine="200"/>
    </w:pPr>
    <w:rPr>
      <w:rFonts w:ascii="楷体_GB2312" w:hAnsi="Times New Roman" w:eastAsia="楷体_GB2312"/>
      <w:sz w:val="24"/>
      <w:szCs w:val="20"/>
    </w:rPr>
  </w:style>
  <w:style w:type="paragraph" w:customStyle="1" w:styleId="472">
    <w:name w:val="菲页2"/>
    <w:basedOn w:val="220"/>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73">
    <w:name w:val="Table Paragraph"/>
    <w:basedOn w:val="1"/>
    <w:qFormat/>
    <w:uiPriority w:val="0"/>
  </w:style>
  <w:style w:type="paragraph" w:customStyle="1" w:styleId="474">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5">
    <w:name w:val="标题2"/>
    <w:basedOn w:val="219"/>
    <w:next w:val="1"/>
    <w:qFormat/>
    <w:uiPriority w:val="0"/>
    <w:pPr>
      <w:spacing w:before="120" w:after="120" w:line="360" w:lineRule="auto"/>
      <w:ind w:left="0" w:firstLine="448"/>
      <w:jc w:val="left"/>
    </w:pPr>
    <w:rPr>
      <w:rFonts w:ascii="Times New Roman" w:hAnsi="Times New Roman" w:eastAsia="宋体"/>
      <w:b w:val="0"/>
      <w:bCs w:val="0"/>
      <w:color w:val="000000"/>
      <w:spacing w:val="-8"/>
      <w:sz w:val="24"/>
      <w:szCs w:val="20"/>
    </w:rPr>
  </w:style>
  <w:style w:type="paragraph" w:customStyle="1" w:styleId="476">
    <w:name w:val="表格标题"/>
    <w:basedOn w:val="1"/>
    <w:qFormat/>
    <w:uiPriority w:val="0"/>
    <w:pPr>
      <w:spacing w:before="120" w:line="400" w:lineRule="exact"/>
      <w:jc w:val="center"/>
    </w:pPr>
    <w:rPr>
      <w:rFonts w:eastAsia="文鼎CS中宋"/>
      <w:spacing w:val="8"/>
      <w:sz w:val="24"/>
      <w:szCs w:val="20"/>
    </w:rPr>
  </w:style>
  <w:style w:type="paragraph" w:customStyle="1" w:styleId="47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78">
    <w:name w:val="样式1"/>
    <w:basedOn w:val="1"/>
    <w:qFormat/>
    <w:uiPriority w:val="0"/>
    <w:pPr>
      <w:spacing w:before="120" w:after="120" w:line="300" w:lineRule="auto"/>
    </w:pPr>
    <w:rPr>
      <w:rFonts w:ascii="宋体" w:hAnsi="宋体"/>
      <w:b/>
      <w:sz w:val="24"/>
      <w:szCs w:val="20"/>
    </w:rPr>
  </w:style>
  <w:style w:type="paragraph" w:customStyle="1" w:styleId="479">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80">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81">
    <w:name w:val="纯文本5"/>
    <w:basedOn w:val="1"/>
    <w:qFormat/>
    <w:uiPriority w:val="0"/>
    <w:rPr>
      <w:rFonts w:ascii="宋体" w:hAnsi="Courier New"/>
    </w:rPr>
  </w:style>
  <w:style w:type="paragraph" w:customStyle="1" w:styleId="48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table" w:customStyle="1" w:styleId="483">
    <w:name w:val="Table Normal"/>
    <w:unhideWhenUsed/>
    <w:qFormat/>
    <w:uiPriority w:val="2"/>
    <w:pPr>
      <w:widowControl w:val="0"/>
    </w:pPr>
    <w:rPr>
      <w:sz w:val="22"/>
      <w:szCs w:val="22"/>
      <w:lang w:val="en-US" w:eastAsia="en-US" w:bidi="ar-SA"/>
    </w:rPr>
  </w:style>
  <w:style w:type="paragraph" w:customStyle="1" w:styleId="484">
    <w:name w:val="列表段落"/>
    <w:basedOn w:val="1"/>
    <w:qFormat/>
    <w:uiPriority w:val="0"/>
    <w:pPr>
      <w:ind w:firstLine="420"/>
    </w:pPr>
    <w:rPr>
      <w:rFonts w:ascii="Times New Roman" w:hAnsi="Times New Roman"/>
    </w:rPr>
  </w:style>
  <w:style w:type="character" w:customStyle="1" w:styleId="485">
    <w:name w:val="页眉 Char1"/>
    <w:link w:val="1"/>
    <w:semiHidden/>
    <w:qFormat/>
    <w:uiPriority w:val="0"/>
    <w:rPr>
      <w:rFonts w:ascii="Times New Roman" w:hAnsi="Times New Roman"/>
      <w:sz w:val="18"/>
    </w:rPr>
  </w:style>
  <w:style w:type="character" w:customStyle="1" w:styleId="486">
    <w:name w:val="UserStyle_18"/>
    <w:link w:val="1"/>
    <w:qFormat/>
    <w:uiPriority w:val="0"/>
    <w:rPr>
      <w:sz w:val="21"/>
      <w:lang w:val="en-US" w:eastAsia="zh-CN" w:bidi="ar-SA"/>
    </w:rPr>
  </w:style>
  <w:style w:type="paragraph" w:customStyle="1" w:styleId="487">
    <w:name w:val="179"/>
    <w:basedOn w:val="1"/>
    <w:qFormat/>
    <w:uiPriority w:val="0"/>
    <w:pPr>
      <w:ind w:firstLine="420"/>
    </w:pPr>
  </w:style>
  <w:style w:type="character" w:customStyle="1" w:styleId="488">
    <w:name w:val="PageNumber1"/>
    <w:link w:val="1"/>
    <w:qFormat/>
    <w:uiPriority w:val="0"/>
  </w:style>
  <w:style w:type="paragraph" w:customStyle="1" w:styleId="489">
    <w:name w:val="段"/>
    <w:next w:val="1"/>
    <w:qFormat/>
    <w:uiPriority w:val="99"/>
    <w:pPr>
      <w:ind w:firstLine="200"/>
      <w:jc w:val="both"/>
    </w:pPr>
    <w:rPr>
      <w:rFonts w:hint="default" w:ascii="宋体" w:hAnsi="Times New Roman" w:eastAsia="宋体" w:cs="Times New Roman"/>
      <w:sz w:val="21"/>
      <w:lang w:val="en-US" w:eastAsia="zh-CN" w:bidi="ar-SA"/>
    </w:rPr>
  </w:style>
  <w:style w:type="paragraph" w:customStyle="1" w:styleId="490">
    <w:name w:val="普通文字"/>
    <w:basedOn w:val="1"/>
    <w:next w:val="1"/>
    <w:qFormat/>
    <w:uiPriority w:val="99"/>
    <w:rPr>
      <w:rFonts w:ascii="宋体" w:hAnsi="Times New Roman" w:eastAsia="宋体" w:cs="Times New Roman"/>
      <w:sz w:val="24"/>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3c5c84cd-b837-4d43-8538-49312e5a7bad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64A7B529</paraID>
      <start>0</start>
      <end>2</end>
      <status>modified</status>
      <modifiedWord>一、</modifiedWord>
      <trackRevisions>false</trackRevisions>
    </reviewItem>
    <reviewItem>
      <errorID>c4be30d9-aade-4ae4-ae3a-c9a27b0afc23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12E5623</paraID>
      <start>0</start>
      <end>2</end>
      <status>modified</status>
      <modifiedWord>二、</modifiedWord>
      <trackRevisions>false</trackRevisions>
    </reviewItem>
    <reviewItem>
      <errorID>e70262a1-eeff-4e91-a7e9-8094ba9e56cb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6BECC248</paraID>
      <start>0</start>
      <end>2</end>
      <status>modified</status>
      <modifiedWord>三、</modifiedWord>
      <trackRevisions>false</trackRevisions>
    </reviewItem>
    <reviewItem>
      <errorID>b10245fb-2528-4a19-98c9-4f66d691bd0a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533F1969</paraID>
      <start>0</start>
      <end>2</end>
      <status>modified</status>
      <modifiedWord>四、</modifiedWord>
      <trackRevisions>false</trackRevisions>
    </reviewItem>
    <reviewItem>
      <errorID>076d42ee-33f6-4071-bf1d-e2e2656ebf9b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43468007</paraID>
      <start>0</start>
      <end>2</end>
      <status>modified</status>
      <modifiedWord>五、</modifiedWord>
      <trackRevisions>false</trackRevisions>
    </reviewItem>
    <reviewItem>
      <errorID>93489ad9-2990-43f2-b7a6-914bad2c8fee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1884056B</paraID>
      <start>0</start>
      <end>2</end>
      <status>modified</status>
      <modifiedWord>一、</modifiedWord>
      <trackRevisions>false</trackRevisions>
    </reviewItem>
    <reviewItem>
      <errorID>06dfcc61-24da-47d1-98f1-64197f1bdf40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DD74DE5</paraID>
      <start>22</start>
      <end>23</end>
      <status>modified</status>
      <modifiedWord>—</modifiedWord>
      <trackRevisions>false</trackRevisions>
    </reviewItem>
    <reviewItem>
      <errorID>3710b827-056b-4984-b133-5dbca2b6711e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DD74DE5</paraID>
      <start>47</start>
      <end>48</end>
      <status>modified</status>
      <modifiedWord>—</modifiedWord>
      <trackRevisions>false</trackRevisions>
    </reviewItem>
    <reviewItem>
      <errorID>448ed681-0423-42c2-8496-214f55b617a9</errorID>
      <errorWord>“.</errorWord>
      <group>L1_Punc</group>
      <groupName>标点问题</groupName>
      <ability>L2_Punc</ability>
      <abilityName>标点符号检查</abilityName>
      <candidateList>
        <item>“</item>
      </candidateList>
      <explain/>
      <paraID>5210460B</paraID>
      <start>146</start>
      <end>148</end>
      <status>unmodified</status>
      <modifiedWord/>
      <trackRevisions>false</trackRevisions>
    </reviewItem>
    <reviewItem>
      <errorID>8a3245b6-2b6f-4cd3-bb5f-ae8f7790906c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5C7648E4</paraID>
      <start>0</start>
      <end>2</end>
      <status>modified</status>
      <modifiedWord>二、</modifiedWord>
      <trackRevisions>false</trackRevisions>
    </reviewItem>
    <reviewItem>
      <errorID>a1a2cbb0-62ad-489a-b9ac-43c2854afbcc</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 D3370ED</paraID>
      <start>140</start>
      <end>142</end>
      <status>modified</status>
      <modifiedWord>全面</modifiedWord>
      <trackRevisions>false</trackRevisions>
    </reviewItem>
    <reviewItem>
      <errorID>1ef418fd-6500-424f-8ec8-9ccfa6827fbf</errorID>
      <errorWord>其及</errorWord>
      <group>L1_Word</group>
      <groupName>字词问题</groupName>
      <ability>L2_Typo</ability>
      <abilityName>字词错误</abilityName>
      <candidateList>
        <item>其</item>
      </candidateList>
      <explain>词缀：极～｜尤～｜如～。</explain>
      <paraID>254195EA</paraID>
      <start>40</start>
      <end>42</end>
      <status>unmodified</status>
      <modifiedWord/>
      <trackRevisions>false</trackRevisions>
    </reviewItem>
    <reviewItem>
      <errorID>131f2783-5f0c-47dd-aeaa-1e8e451cd93a</errorID>
      <errorWord>充分考虑到</errorWord>
      <group>L1_Word</group>
      <groupName>字词问题</groupName>
      <ability>L2_Typo</ability>
      <abilityName>字词错误</abilityName>
      <candidateList>
        <item>充分考虑</item>
      </candidateList>
      <explain/>
      <paraID> 4FB91C7</paraID>
      <start>4</start>
      <end>8</end>
      <status>modified</status>
      <modifiedWord>充分考虑</modifiedWord>
      <trackRevisions>false</trackRevisions>
    </reviewItem>
    <reviewItem>
      <errorID>5cf9e5c9-26a7-4da0-89ae-a6340e717534</errorID>
      <errorWord>做</errorWord>
      <group>L1_Word</group>
      <groupName>字词问题</groupName>
      <ability>L2_Typo</ability>
      <abilityName>字词错误</abilityName>
      <candidateList>
        <item>作</item>
      </candidateList>
      <explain>存在发音相同字词的误用。</explain>
      <paraID> 4FB91C7</paraID>
      <start>70</start>
      <end>71</end>
      <status>unmodified</status>
      <modifiedWord/>
      <trackRevisions>false</trackRevisions>
    </reviewItem>
    <reviewItem>
      <errorID>6d6a3949-3123-47d7-8602-b6fcf52c5f5e</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5442D9F5</paraID>
      <start>53</start>
      <end>55</end>
      <status>modified</status>
      <modifiedWord>应该</modifiedWord>
      <trackRevisions>false</trackRevisions>
    </reviewItem>
    <reviewItem>
      <errorID>4e869060-27c3-4ad0-9dcb-0b1c8b2fbe68</errorID>
      <errorWord>不</errorWord>
      <group>L1_Word</group>
      <groupName>字词问题</groupName>
      <ability>L2_Typo</ability>
      <abilityName>字词错误</abilityName>
      <candidateList>
        <item>不符</item>
      </candidateList>
      <explain/>
      <paraID>4B030226</paraID>
      <start>55</start>
      <end>57</end>
      <status>modified</status>
      <modifiedWord>不符</modifiedWord>
      <trackRevisions>false</trackRevisions>
    </reviewItem>
    <reviewItem>
      <errorID>f94fcb85-f887-49ff-9d17-81c763be5e38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7D878081</paraID>
      <start>52</start>
      <end>53</end>
      <status>modified</status>
      <modifiedWord>对</modifiedWord>
      <trackRevisions>false</trackRevisions>
    </reviewItem>
    <reviewItem>
      <errorID>c6480801-12da-4aa9-8f4b-caccba498970</errorID>
      <errorWord>保持通讯畅通</errorWord>
      <group>L1_Word</group>
      <groupName>字词问题</groupName>
      <ability>L2_Typo</ability>
      <abilityName>字词错误</abilityName>
      <candidateList>
        <item>保持通信畅通</item>
      </candidateList>
      <explain/>
      <paraID>1B020A86</paraID>
      <start>15</start>
      <end>21</end>
      <status>modified</status>
      <modifiedWord>保持通信畅通</modifiedWord>
      <trackRevisions>false</trackRevisions>
    </reviewItem>
    <reviewItem>
      <errorID>76cb6793-eacb-49d0-892e-c49056d0f6d8</errorID>
      <errorWord>属</errorWord>
      <group>L1_Word</group>
      <groupName>字词问题</groupName>
      <ability>L2_Typo</ability>
      <abilityName>字词错误</abilityName>
      <candidateList>
        <item>属于</item>
      </candidateList>
      <explain/>
      <paraID>38EF6AF3</paraID>
      <start>22</start>
      <end>24</end>
      <status>modified</status>
      <modifiedWord>属于</modifiedWord>
      <trackRevisions>false</trackRevisions>
    </reviewItem>
    <reviewItem>
      <errorID>7a47a882-7b40-4350-9ae8-6c31c2781bd4</errorID>
      <errorWord>，</errorWord>
      <group>L1_Word</group>
      <groupName>字词问题</groupName>
      <ability>L2_Typo</ability>
      <abilityName>字词错误</abilityName>
      <candidateList>
        <item>，并</item>
      </candidateList>
      <explain/>
      <paraID>595C3BED</paraID>
      <start>90</start>
      <end>92</end>
      <status>modified</status>
      <modifiedWord>，并</modifiedWord>
      <trackRevisions>false</trackRevisions>
    </reviewItem>
    <reviewItem>
      <errorID>1d81df06-c1cd-47f6-ae7a-88dfdb81162d</errorID>
      <errorWord>供应商中</errorWord>
      <group>L1_Word</group>
      <groupName>字词问题</groupName>
      <ability>L2_Typo</ability>
      <abilityName>字词错误</abilityName>
      <candidateList>
        <item>供应商</item>
      </candidateList>
      <explain/>
      <paraID>19FD75C0</paraID>
      <start>22</start>
      <end>25</end>
      <status>modified</status>
      <modifiedWord>供应商</modifiedWord>
      <trackRevisions>false</trackRevisions>
    </reviewItem>
    <reviewItem>
      <errorID>ccd00320-1ad3-4ed9-8b29-835b9ebfeeea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2F92092A</paraID>
      <start>1</start>
      <end>3</end>
      <status>modified</status>
      <modifiedWord>三、</modifiedWord>
      <trackRevisions>false</trackRevisions>
    </reviewItem>
    <reviewItem>
      <errorID>171296aa-8f31-4d37-b9bb-ca91e2834748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7DC0A3A6</paraID>
      <start>0</start>
      <end>2</end>
      <status>modified</status>
      <modifiedWord>1.</modifiedWord>
      <trackRevisions>false</trackRevisions>
    </reviewItem>
    <reviewItem>
      <errorID>d2e364fd-35f0-4402-b078-eb0677be12db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2640F654</paraID>
      <start>0</start>
      <end>2</end>
      <status>modified</status>
      <modifiedWord>2.</modifiedWord>
      <trackRevisions>false</trackRevisions>
    </reviewItem>
    <reviewItem>
      <errorID>a8aed6c4-0938-4695-bb1f-ac9ab9d84009</errorID>
      <errorWord>,</errorWord>
      <group>L1_Format</group>
      <groupName>格式问题</groupName>
      <ability>L2_HalfPunc</ability>
      <abilityName>全半角检查</abilityName>
      <candidateList>
        <item>，</item>
      </candidateList>
      <explain>文本全半角错误。</explain>
      <paraID>2640F654</paraID>
      <start>17</start>
      <end>18</end>
      <status>modified</status>
      <modifiedWord>，</modifiedWord>
      <trackRevisions>false</trackRevisions>
    </reviewItem>
    <reviewItem>
      <errorID>4228f194-4b5d-4517-953f-d7b3f387e546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5A78BA5D</paraID>
      <start>0</start>
      <end>2</end>
      <status>modified</status>
      <modifiedWord>3.</modifiedWord>
      <trackRevisions>false</trackRevisions>
    </reviewItem>
    <reviewItem>
      <errorID>f96d09e2-1345-45b3-aede-c292a2670308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FD21192</paraID>
      <start>0</start>
      <end>2</end>
      <status>modified</status>
      <modifiedWord>4.</modifiedWord>
      <trackRevisions>false</trackRevisions>
    </reviewItem>
    <reviewItem>
      <errorID>022a3067-a55d-4669-8162-c468b083026f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8C62C25</paraID>
      <start>0</start>
      <end>2</end>
      <status>modified</status>
      <modifiedWord>5.</modifiedWord>
      <trackRevisions>false</trackRevisions>
    </reviewItem>
    <reviewItem>
      <errorID>d799fa30-1ce7-4af3-812a-d35cd6530084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32DF983</paraID>
      <start>0</start>
      <end>2</end>
      <status>modified</status>
      <modifiedWord>6.</modifiedWord>
      <trackRevisions>false</trackRevisions>
    </reviewItem>
    <reviewItem>
      <errorID>9a909c46-7f25-4482-a155-f18da6339bcd</errorID>
      <errorWord>履行其</errorWord>
      <group>L1_Word</group>
      <groupName>字词问题</groupName>
      <ability>L2_Typo</ability>
      <abilityName>字词错误</abilityName>
      <candidateList>
        <item>履行</item>
      </candidateList>
      <explain>〈动〉实践（自己答应做的或应该做的事）：～诺言｜～合同｜～手续。</explain>
      <paraID> 32DF983</paraID>
      <start>38</start>
      <end>40</end>
      <status>modified</status>
      <modifiedWord>履行</modifiedWord>
      <trackRevisions>false</trackRevisions>
    </reviewItem>
    <reviewItem>
      <errorID>c28dee68-758e-4b21-a0bf-acf3b912d92b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461D932F</paraID>
      <start>0</start>
      <end>2</end>
      <status>modified</status>
      <modifiedWord>7.</modifiedWord>
      <trackRevisions>false</trackRevisions>
    </reviewItem>
    <reviewItem>
      <errorID>e656a7e8-c1c5-4811-b12a-ca390bd0a09a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6E41B087</paraID>
      <start>0</start>
      <end>2</end>
      <status>modified</status>
      <modifiedWord>8.</modifiedWord>
      <trackRevisions>false</trackRevisions>
    </reviewItem>
    <reviewItem>
      <errorID>6ea29f74-7189-46f8-b67c-e61e5e8bc01a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7F364DD4</paraID>
      <start>0</start>
      <end>2</end>
      <status>modified</status>
      <modifiedWord>9.</modifiedWord>
      <trackRevisions>false</trackRevisions>
    </reviewItem>
    <reviewItem>
      <errorID>33b907db-387b-4511-ad75-fd3b6e775baa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76B93671</paraID>
      <start>148</start>
      <end>150</end>
      <status>modified</status>
      <modifiedWord>》《</modifiedWord>
      <trackRevisions>false</trackRevisions>
    </reviewItem>
    <reviewItem>
      <errorID>dee93b8d-87fd-499e-806b-b3fd4c7f51db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76B93671</paraID>
      <start>165</start>
      <end>167</end>
      <status>modified</status>
      <modifiedWord>》《</modifiedWord>
      <trackRevisions>false</trackRevisions>
    </reviewItem>
    <reviewItem>
      <errorID>2dcd1559-e195-487c-9f18-11b2e49521c8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76B93671</paraID>
      <start>254</start>
      <end>256</end>
      <status>modified</status>
      <modifiedWord>》《</modifiedWord>
      <trackRevisions>false</trackRevisions>
    </reviewItem>
    <reviewItem>
      <errorID>fe372729-1509-4a1b-b1d8-bbfed068b84c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76B93671</paraID>
      <start>271</start>
      <end>273</end>
      <status>modified</status>
      <modifiedWord>》《</modifiedWord>
      <trackRevisions>false</trackRevisions>
    </reviewItem>
    <reviewItem>
      <errorID>6c9f870c-a08f-447c-8fa1-d83bd2861b2a</errorID>
      <errorWord>费</errorWord>
      <group>L1_Word</group>
      <groupName>字词问题</groupName>
      <ability>L2_Typo</ability>
      <abilityName>字词错误</abilityName>
      <candidateList>
        <item>费用</item>
      </candidateList>
      <explain/>
      <paraID>3173CA50</paraID>
      <start>111</start>
      <end>113</end>
      <status>modified</status>
      <modifiedWord>费用</modifiedWord>
      <trackRevisions>false</trackRevisions>
    </reviewItem>
    <reviewItem>
      <errorID>c69e3e7b-2f0a-44b5-8e7f-a31a68c53131</errorID>
      <errorWord>,</errorWord>
      <group>L1_Format</group>
      <groupName>格式问题</groupName>
      <ability>L2_HalfPunc</ability>
      <abilityName>全半角检查</abilityName>
      <candidateList>
        <item>，</item>
      </candidateList>
      <explain>文本全半角错误。</explain>
      <paraID>6440AEFD</paraID>
      <start>36</start>
      <end>37</end>
      <status>modified</status>
      <modifiedWord>，</modifiedWord>
      <trackRevisions>false</trackRevisions>
    </reviewItem>
    <reviewItem>
      <errorID>44fd3d5f-729a-4741-8645-13723a13331e</errorID>
      <errorWord>其它</errorWord>
      <group>L1_Word</group>
      <groupName>字词问题</groupName>
      <ability>L2_Alias</ability>
      <abilityName>也作/曾用词</abilityName>
      <candidateList>
        <item>其他</item>
      </candidateList>
      <explain>词汇[其它]为不规范表述或旧称，其规范书面表述为[其他]。</explain>
      <paraID>53B65FA7</paraID>
      <start>3</start>
      <end>5</end>
      <status>modified</status>
      <modifiedWord>其他</modifiedWord>
      <trackRevisions>false</trackRevisions>
    </reviewItem>
    <reviewItem>
      <errorID>65b74416-b7b9-42fa-856b-4b5c672e9a49</errorID>
      <errorWord>档</errorWord>
      <group>L1_Word</group>
      <groupName>字词问题</groupName>
      <ability>L2_Typo</ability>
      <abilityName>字词错误</abilityName>
      <candidateList>
        <item>挡</item>
      </candidateList>
      <explain/>
      <paraID>6B2BEC1E</paraID>
      <start>20</start>
      <end>21</end>
      <status>modified</status>
      <modifiedWord>挡</modifiedWord>
      <trackRevisions>false</trackRevisions>
    </reviewItem>
    <reviewItem>
      <errorID>8286586c-bb62-43cd-bb6f-ad055543632b</errorID>
      <errorWord>"</errorWord>
      <group>L1_Format</group>
      <groupName>格式问题</groupName>
      <ability>L2_HalfPunc</ability>
      <abilityName>全半角检查</abilityName>
      <candidateList>
        <item>“</item>
      </candidateList>
      <explain>文本全半角错误。</explain>
      <paraID> AE6EABF</paraID>
      <start>2</start>
      <end>3</end>
      <status>modified</status>
      <modifiedWord>“</modifiedWord>
      <trackRevisions>false</trackRevisions>
    </reviewItem>
    <reviewItem>
      <errorID>0ff85985-838b-40ce-830f-731a3d2a860f</errorID>
      <errorWord>,</errorWord>
      <group>L1_Format</group>
      <groupName>格式问题</groupName>
      <ability>L2_HalfPunc</ability>
      <abilityName>全半角检查</abilityName>
      <candidateList>
        <item>，</item>
      </candidateList>
      <explain>文本全半角错误。</explain>
      <paraID> AE6EABF</paraID>
      <start>7</start>
      <end>8</end>
      <status>modified</status>
      <modifiedWord>，</modifiedWord>
      <trackRevisions>false</trackRevisions>
    </reviewItem>
    <reviewItem>
      <errorID>9211482d-77dc-4efe-91fb-099568ba60f7</errorID>
      <errorWord>"</errorWord>
      <group>L1_Format</group>
      <groupName>格式问题</groupName>
      <ability>L2_HalfPunc</ability>
      <abilityName>全半角检查</abilityName>
      <candidateList>
        <item>”</item>
      </candidateList>
      <explain>文本全半角错误。</explain>
      <paraID> AE6EABF</paraID>
      <start>17</start>
      <end>18</end>
      <status>modified</status>
      <modifiedWord>”</modifiedWord>
      <trackRevisions>false</trackRevisions>
    </reviewItem>
    <reviewItem>
      <errorID>6ad60844-f997-41d8-ba5e-41f0a33a7270</errorID>
      <errorWord>,</errorWord>
      <group>L1_Format</group>
      <groupName>格式问题</groupName>
      <ability>L2_HalfPunc</ability>
      <abilityName>全半角检查</abilityName>
      <candidateList>
        <item>，</item>
      </candidateList>
      <explain>文本全半角错误。</explain>
      <paraID> AE6EABF</paraID>
      <start>21</start>
      <end>22</end>
      <status>modified</status>
      <modifiedWord>，</modifiedWord>
      <trackRevisions>false</trackRevisions>
    </reviewItem>
    <reviewItem>
      <errorID>58907497-e31c-4f8e-b52c-05176461b4c2</errorID>
      <errorWord>,</errorWord>
      <group>L1_Format</group>
      <groupName>格式问题</groupName>
      <ability>L2_HalfPunc</ability>
      <abilityName>全半角检查</abilityName>
      <candidateList>
        <item>，</item>
      </candidateList>
      <explain>文本全半角错误。</explain>
      <paraID>15D1572E</paraID>
      <start>18</start>
      <end>19</end>
      <status>modified</status>
      <modifiedWord>，</modifiedWord>
      <trackRevisions>false</trackRevisions>
    </reviewItem>
    <reviewItem>
      <errorID>d54811e5-ddf3-4a36-9b01-c962dc91e62b</errorID>
      <errorWord>,</errorWord>
      <group>L1_Format</group>
      <groupName>格式问题</groupName>
      <ability>L2_HalfPunc</ability>
      <abilityName>全半角检查</abilityName>
      <candidateList>
        <item>，</item>
      </candidateList>
      <explain>文本全半角错误。</explain>
      <paraID>15D1572E</paraID>
      <start>44</start>
      <end>45</end>
      <status>modified</status>
      <modifiedWord>，</modifiedWord>
      <trackRevisions>false</trackRevisions>
    </reviewItem>
    <reviewItem>
      <errorID>c1fdd401-c85d-4b88-9541-5f29f71eb05b</errorID>
      <errorWord>,</errorWord>
      <group>L1_Format</group>
      <groupName>格式问题</groupName>
      <ability>L2_HalfPunc</ability>
      <abilityName>全半角检查</abilityName>
      <candidateList>
        <item>，</item>
      </candidateList>
      <explain>文本全半角错误。</explain>
      <paraID>15D1572E</paraID>
      <start>47</start>
      <end>48</end>
      <status>modified</status>
      <modifiedWord>，</modifiedWord>
      <trackRevisions>false</trackRevisions>
    </reviewItem>
    <reviewItem>
      <errorID>f2c5c1d8-82e0-45aa-bbee-da896be62d29</errorID>
      <errorWord>,</errorWord>
      <group>L1_Format</group>
      <groupName>格式问题</groupName>
      <ability>L2_HalfPunc</ability>
      <abilityName>全半角检查</abilityName>
      <candidateList>
        <item>，</item>
      </candidateList>
      <explain>文本全半角错误。</explain>
      <paraID>15D1572E</paraID>
      <start>50</start>
      <end>51</end>
      <status>modified</status>
      <modifiedWord>，</modifiedWord>
      <trackRevisions>false</trackRevisions>
    </reviewItem>
    <reviewItem>
      <errorID>045c6aab-f3a9-4a08-85b0-99334c6978df</errorID>
      <errorWord>,</errorWord>
      <group>L1_Format</group>
      <groupName>格式问题</groupName>
      <ability>L2_HalfPunc</ability>
      <abilityName>全半角检查</abilityName>
      <candidateList>
        <item>，</item>
      </candidateList>
      <explain>文本全半角错误。</explain>
      <paraID>3E58461A</paraID>
      <start>19</start>
      <end>20</end>
      <status>modified</status>
      <modifiedWord>，</modifiedWord>
      <trackRevisions>false</trackRevisions>
    </reviewItem>
    <reviewItem>
      <errorID>c168ea04-1e7c-4144-b888-237fe03073fa</errorID>
      <errorWord>,</errorWord>
      <group>L1_Format</group>
      <groupName>格式问题</groupName>
      <ability>L2_HalfPunc</ability>
      <abilityName>全半角检查</abilityName>
      <candidateList>
        <item>，</item>
      </candidateList>
      <explain>文本全半角错误。</explain>
      <paraID>3E58461A</paraID>
      <start>31</start>
      <end>32</end>
      <status>modified</status>
      <modifiedWord>，</modifiedWord>
      <trackRevisions>false</trackRevisions>
    </reviewItem>
    <reviewItem>
      <errorID>bc8606b3-6a88-458b-a4ba-5e5afb1f8ac3</errorID>
      <errorWord>,</errorWord>
      <group>L1_Format</group>
      <groupName>格式问题</groupName>
      <ability>L2_HalfPunc</ability>
      <abilityName>全半角检查</abilityName>
      <candidateList>
        <item>，</item>
      </candidateList>
      <explain>文本全半角错误。</explain>
      <paraID>1B14C2AC</paraID>
      <start>10</start>
      <end>11</end>
      <status>modified</status>
      <modifiedWord>，</modifiedWord>
      <trackRevisions>false</trackRevisions>
    </reviewItem>
    <reviewItem>
      <errorID>85678306-38a3-4c52-90e7-4f40e242518b</errorID>
      <errorWord>,</errorWord>
      <group>L1_Format</group>
      <groupName>格式问题</groupName>
      <ability>L2_HalfPunc</ability>
      <abilityName>全半角检查</abilityName>
      <candidateList>
        <item>，</item>
      </candidateList>
      <explain>文本全半角错误。</explain>
      <paraID> DBC0052</paraID>
      <start>22</start>
      <end>23</end>
      <status>modified</status>
      <modifiedWord>，</modifiedWord>
      <trackRevisions>false</trackRevisions>
    </reviewItem>
    <reviewItem>
      <errorID>39c8ad96-fb25-4fca-a5ba-62062a2b7e3f</errorID>
      <errorWord>,</errorWord>
      <group>L1_Format</group>
      <groupName>格式问题</groupName>
      <ability>L2_HalfPunc</ability>
      <abilityName>全半角检查</abilityName>
      <candidateList>
        <item>，</item>
      </candidateList>
      <explain>文本全半角错误。</explain>
      <paraID>7C0DCE73</paraID>
      <start>8</start>
      <end>9</end>
      <status>modified</status>
      <modifiedWord>，</modifiedWord>
      <trackRevisions>false</trackRevisions>
    </reviewItem>
    <reviewItem>
      <errorID>69b256f0-99a9-452c-ae97-e03b18fe7395</errorID>
      <errorWord>,</errorWord>
      <group>L1_Format</group>
      <groupName>格式问题</groupName>
      <ability>L2_HalfPunc</ability>
      <abilityName>全半角检查</abilityName>
      <candidateList>
        <item>，</item>
      </candidateList>
      <explain>文本全半角错误。</explain>
      <paraID>7C0DCE73</paraID>
      <start>12</start>
      <end>13</end>
      <status>modified</status>
      <modifiedWord>，</modifiedWord>
      <trackRevisions>false</trackRevisions>
    </reviewItem>
    <reviewItem>
      <errorID>fa786d9d-6007-4248-8ef5-d227875e4a3d</errorID>
      <errorWord>,</errorWord>
      <group>L1_Format</group>
      <groupName>格式问题</groupName>
      <ability>L2_HalfPunc</ability>
      <abilityName>全半角检查</abilityName>
      <candidateList>
        <item>，</item>
      </candidateList>
      <explain>文本全半角错误。</explain>
      <paraID>7C0DCE73</paraID>
      <start>16</start>
      <end>17</end>
      <status>modified</status>
      <modifiedWord>，</modifiedWord>
      <trackRevisions>false</trackRevisions>
    </reviewItem>
    <reviewItem>
      <errorID>cc8d1226-3851-4828-ab4d-5e8190a5d31c</errorID>
      <errorWord>,</errorWord>
      <group>L1_Format</group>
      <groupName>格式问题</groupName>
      <ability>L2_HalfPunc</ability>
      <abilityName>全半角检查</abilityName>
      <candidateList>
        <item>，</item>
      </candidateList>
      <explain>文本全半角错误。</explain>
      <paraID>7C0DCE73</paraID>
      <start>21</start>
      <end>22</end>
      <status>modified</status>
      <modifiedWord>，</modifiedWord>
      <trackRevisions>false</trackRevisions>
    </reviewItem>
    <reviewItem>
      <errorID>582b4f82-0352-4f4f-9762-d386a6234e36</errorID>
      <errorWord>,</errorWord>
      <group>L1_Format</group>
      <groupName>格式问题</groupName>
      <ability>L2_HalfPunc</ability>
      <abilityName>全半角检查</abilityName>
      <candidateList>
        <item>，</item>
      </candidateList>
      <explain>文本全半角错误。</explain>
      <paraID>6C8DD368</paraID>
      <start>10</start>
      <end>11</end>
      <status>modified</status>
      <modifiedWord>，</modifiedWord>
      <trackRevisions>false</trackRevisions>
    </reviewItem>
    <reviewItem>
      <errorID>abeca5ae-1f32-4c0f-9d8a-8b091ca0b6fb</errorID>
      <errorWord>,</errorWord>
      <group>L1_Format</group>
      <groupName>格式问题</groupName>
      <ability>L2_HalfPunc</ability>
      <abilityName>全半角检查</abilityName>
      <candidateList>
        <item>，</item>
      </candidateList>
      <explain>文本全半角错误。</explain>
      <paraID>6C8DD368</paraID>
      <start>43</start>
      <end>44</end>
      <status>modified</status>
      <modifiedWord>，</modifiedWord>
      <trackRevisions>false</trackRevisions>
    </reviewItem>
    <reviewItem>
      <errorID>b97c9a43-5e96-471f-90cd-f2287667a472</errorID>
      <errorWord>,</errorWord>
      <group>L1_Format</group>
      <groupName>格式问题</groupName>
      <ability>L2_HalfPunc</ability>
      <abilityName>全半角检查</abilityName>
      <candidateList>
        <item>，</item>
      </candidateList>
      <explain>文本全半角错误。</explain>
      <paraID>6C8DD368</paraID>
      <start>51</start>
      <end>52</end>
      <status>modified</status>
      <modifiedWord>，</modifiedWord>
      <trackRevisions>false</trackRevisions>
    </reviewItem>
    <reviewItem>
      <errorID>a2250fcf-1e97-4f8a-b312-ea290a33e127</errorID>
      <errorWord>,</errorWord>
      <group>L1_Format</group>
      <groupName>格式问题</groupName>
      <ability>L2_HalfPunc</ability>
      <abilityName>全半角检查</abilityName>
      <candidateList>
        <item>，</item>
      </candidateList>
      <explain>文本全半角错误。</explain>
      <paraID>6C8DD368</paraID>
      <start>60</start>
      <end>61</end>
      <status>modified</status>
      <modifiedWord>，</modifiedWord>
      <trackRevisions>false</trackRevisions>
    </reviewItem>
    <reviewItem>
      <errorID>6add64fb-58a6-4aab-8787-960600970a02</errorID>
      <errorWord>"</errorWord>
      <group>L1_Format</group>
      <groupName>格式问题</groupName>
      <ability>L2_HalfPunc</ability>
      <abilityName>全半角检查</abilityName>
      <candidateList>
        <item>“</item>
      </candidateList>
      <explain>文本全半角错误。</explain>
      <paraID>6C8DD368</paraID>
      <start>64</start>
      <end>65</end>
      <status>modified</status>
      <modifiedWord>“</modifiedWord>
      <trackRevisions>false</trackRevisions>
    </reviewItem>
    <reviewItem>
      <errorID>b44899ed-9ef9-435f-b924-375405319585</errorID>
      <errorWord>"</errorWord>
      <group>L1_Format</group>
      <groupName>格式问题</groupName>
      <ability>L2_HalfPunc</ability>
      <abilityName>全半角检查</abilityName>
      <candidateList>
        <item>”</item>
      </candidateList>
      <explain>文本全半角错误。</explain>
      <paraID>6C8DD368</paraID>
      <start>69</start>
      <end>70</end>
      <status>modified</status>
      <modifiedWord>”</modifiedWord>
      <trackRevisions>false</trackRevisions>
    </reviewItem>
    <reviewItem>
      <errorID>1bb73c3c-a60f-4d8e-8e6b-d517155f265b</errorID>
      <errorWord>,</errorWord>
      <group>L1_Format</group>
      <groupName>格式问题</groupName>
      <ability>L2_HalfPunc</ability>
      <abilityName>全半角检查</abilityName>
      <candidateList>
        <item>，</item>
      </candidateList>
      <explain>文本全半角错误。</explain>
      <paraID>6C8DD368</paraID>
      <start>73</start>
      <end>74</end>
      <status>modified</status>
      <modifiedWord>，</modifiedWord>
      <trackRevisions>false</trackRevisions>
    </reviewItem>
    <reviewItem>
      <errorID>81e02abe-7053-4ffd-bab4-5dd8eac4156c</errorID>
      <errorWord>有</errorWord>
      <group>L1_Word</group>
      <groupName>字词问题</groupName>
      <ability>L2_Typo</ability>
      <abilityName>字词错误</abilityName>
      <candidateList>
        <item>由</item>
      </candidateList>
      <explain>存在发音相同字词的误用。</explain>
      <paraID> C45EE0F</paraID>
      <start>77</start>
      <end>78</end>
      <status>modified</status>
      <modifiedWord>由</modifiedWord>
      <trackRevisions>false</trackRevisions>
    </reviewItem>
    <reviewItem>
      <errorID>230465bd-4687-4fd0-b55d-9f00d0360860</errorID>
      <errorWord>费</errorWord>
      <group>L1_Word</group>
      <groupName>字词问题</groupName>
      <ability>L2_Typo</ability>
      <abilityName>字词错误</abilityName>
      <candidateList>
        <item>费用</item>
      </candidateList>
      <explain/>
      <paraID>601F3D58</paraID>
      <start>92</start>
      <end>94</end>
      <status>modified</status>
      <modifiedWord>费用</modifiedWord>
      <trackRevisions>false</trackRevisions>
    </reviewItem>
    <reviewItem>
      <errorID>36ff163f-aee9-4463-a83f-a29d78cae3a6</errorID>
      <errorWord>涉及到</errorWord>
      <group>L1_Word</group>
      <groupName>字词问题</groupName>
      <ability>L2_Typo</ability>
      <abilityName>字词错误</abilityName>
      <candidateList>
        <item>涉及</item>
      </candidateList>
      <explain>〈动〉牵涉到；关联到：案子～好几个人｜这个问题～面很广。</explain>
      <paraID>22BCD732</paraID>
      <start>3</start>
      <end>5</end>
      <status>modified</status>
      <modifiedWord>涉及</modifiedWord>
      <trackRevisions>false</trackRevisions>
    </reviewItem>
    <reviewItem>
      <errorID>463ffa25-b088-438d-875e-59c0d9bf1576</errorID>
      <errorWord>有</errorWord>
      <group>L1_Word</group>
      <groupName>字词问题</groupName>
      <ability>L2_Typo</ability>
      <abilityName>字词错误</abilityName>
      <candidateList>
        <item>由</item>
      </candidateList>
      <explain>存在发音相同字词的误用。</explain>
      <paraID>1F38E756</paraID>
      <start>95</start>
      <end>96</end>
      <status>modified</status>
      <modifiedWord>由</modifiedWord>
      <trackRevisions>false</trackRevisions>
    </reviewItem>
    <reviewItem>
      <errorID>f39bbdfa-aa82-452f-9912-4571ead2be03</errorID>
      <errorWord>另要</errorWord>
      <group>L1_Word</group>
      <groupName>字词问题</groupName>
      <ability>L2_Typo</ability>
      <abilityName>字词错误</abilityName>
      <candidateList>
        <item>另</item>
      </candidateList>
      <explain/>
      <paraID>315BB13F</paraID>
      <start>17</start>
      <end>18</end>
      <status>modified</status>
      <modifiedWord>另</modifiedWord>
      <trackRevisions>false</trackRevisions>
    </reviewItem>
    <reviewItem>
      <errorID>cf618e3e-5efb-4c43-950b-d2c89c7655d2</errorID>
      <errorWord>定货</errorWord>
      <group>L1_Word</group>
      <groupName>字词问题</groupName>
      <ability>L2_Variant</ability>
      <abilityName>异形词</abilityName>
      <candidateList>
        <item>订货</item>
      </candidateList>
      <explain>词汇[定货]的规范词形写作[订货]。</explain>
      <paraID>63079ADC</paraID>
      <start>35</start>
      <end>37</end>
      <status>modified</status>
      <modifiedWord>订货</modifiedWord>
      <trackRevisions>false</trackRevisions>
    </reviewItem>
    <reviewItem>
      <errorID>3af39bb3-4cf1-46d1-8559-3f7fa4dd030e</errorID>
      <errorWord>,</errorWord>
      <group>L1_Format</group>
      <groupName>格式问题</groupName>
      <ability>L2_HalfPunc</ability>
      <abilityName>全半角检查</abilityName>
      <candidateList>
        <item>，</item>
      </candidateList>
      <explain>文本全半角错误。</explain>
      <paraID>63079ADC</paraID>
      <start>37</start>
      <end>38</end>
      <status>modified</status>
      <modifiedWord>，</modifiedWord>
      <trackRevisions>false</trackRevisions>
    </reviewItem>
    <reviewItem>
      <errorID>21c03aeb-022b-4f44-8ff0-6b47e9520fb8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69E76E5C</paraID>
      <start>0</start>
      <end>2</end>
      <status>modified</status>
      <modifiedWord>四、</modifiedWord>
      <trackRevisions>false</trackRevisions>
    </reviewItem>
    <reviewItem>
      <errorID>c6ffc6eb-f520-4163-a875-39efa9000ce0</errorID>
      <errorWord>(</errorWord>
      <group>L1_Format</group>
      <groupName>格式问题</groupName>
      <ability>L2_HalfPunc</ability>
      <abilityName>全半角检查</abilityName>
      <candidateList>
        <item>（</item>
      </candidateList>
      <explain>文本全半角错误。</explain>
      <paraID> AF267A9</paraID>
      <start>0</start>
      <end>1</end>
      <status>modified</status>
      <modifiedWord>（</modifiedWord>
      <trackRevisions>false</trackRevisions>
    </reviewItem>
    <reviewItem>
      <errorID>9a36facb-d6de-4ac6-be69-87e86196ebb1</errorID>
      <errorWord>,</errorWord>
      <group>L1_Format</group>
      <groupName>格式问题</groupName>
      <ability>L2_HalfPunc</ability>
      <abilityName>全半角检查</abilityName>
      <candidateList>
        <item>，</item>
      </candidateList>
      <explain>文本全半角错误。</explain>
      <paraID> AF267A9</paraID>
      <start>3</start>
      <end>4</end>
      <status>modified</status>
      <modifiedWord>，</modifiedWord>
      <trackRevisions>false</trackRevisions>
    </reviewItem>
    <reviewItem>
      <errorID>45b0acfc-896d-4c15-859d-9e83d6c797c3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2E4D8A9E</paraID>
      <start>13</start>
      <end>15</end>
      <status>modified</status>
      <modifiedWord>》《</modifiedWord>
      <trackRevisions>false</trackRevisions>
    </reviewItem>
    <reviewItem>
      <errorID>e045d39f-6718-4c79-945a-f36a8acc5724</errorID>
      <errorWord>-</errorWord>
      <group>L1_Format</group>
      <groupName>格式问题</groupName>
      <ability>L2_HalfPunc</ability>
      <abilityName>全半角检查</abilityName>
      <candidateList>
        <item>－</item>
      </candidateList>
      <explain>文本全半角错误。</explain>
      <paraID>54C0F8A9</paraID>
      <start>19</start>
      <end>20</end>
      <status>modified</status>
      <modifiedWord>－</modifiedWord>
      <trackRevisions>false</trackRevisions>
    </reviewItem>
    <reviewItem>
      <errorID>c9095a5a-4340-4eb2-a860-5f4b4457df9b</errorID>
      <errorWord>一类</errorWord>
      <group>L1_Knowledge</group>
      <groupName>知识性问题</groupName>
      <ability>L2_Knowledge</ability>
      <abilityName>其他知识</abilityName>
      <candidateList>
        <item>一项</item>
      </candidateList>
      <explain/>
      <paraID>20686444</paraID>
      <start>35</start>
      <end>37</end>
      <status>modified</status>
      <modifiedWord>一项</modifiedWord>
      <trackRevisions>false</trackRevisions>
    </reviewItem>
    <reviewItem>
      <errorID>2fd01f51-50c0-4f4b-8dfe-638b7c4631d3</errorID>
      <errorWord>(</errorWord>
      <group>L1_Format</group>
      <groupName>格式问题</groupName>
      <ability>L2_HalfPunc</ability>
      <abilityName>全半角检查</abilityName>
      <candidateList>
        <item>（</item>
      </candidateList>
      <explain>文本全半角错误。</explain>
      <paraID> 8D63283</paraID>
      <start>6</start>
      <end>7</end>
      <status>modified</status>
      <modifiedWord>（</modifiedWord>
      <trackRevisions>false</trackRevisions>
    </reviewItem>
    <reviewItem>
      <errorID>f485835e-d319-4eaa-a103-90549dac7ebc</errorID>
      <errorWord>)</errorWord>
      <group>L1_Format</group>
      <groupName>格式问题</groupName>
      <ability>L2_HalfPunc</ability>
      <abilityName>全半角检查</abilityName>
      <candidateList>
        <item>）</item>
      </candidateList>
      <explain>文本全半角错误。</explain>
      <paraID> 8D63283</paraID>
      <start>9</start>
      <end>10</end>
      <status>modified</status>
      <modifiedWord>）</modifiedWord>
      <trackRevisions>false</trackRevisions>
    </reviewItem>
    <reviewItem>
      <errorID>454f520b-efad-4589-b16d-eae71c929feb</errorID>
      <errorWord>(</errorWord>
      <group>L1_Format</group>
      <groupName>格式问题</groupName>
      <ability>L2_HalfPunc</ability>
      <abilityName>全半角检查</abilityName>
      <candidateList>
        <item>（</item>
      </candidateList>
      <explain>文本全半角错误。</explain>
      <paraID> 8D63283</paraID>
      <start>39</start>
      <end>40</end>
      <status>modified</status>
      <modifiedWord>（</modifiedWord>
      <trackRevisions>false</trackRevisions>
    </reviewItem>
    <reviewItem>
      <errorID>778676d1-565d-4f10-858a-feee278becc7</errorID>
      <errorWord>)</errorWord>
      <group>L1_Format</group>
      <groupName>格式问题</groupName>
      <ability>L2_HalfPunc</ability>
      <abilityName>全半角检查</abilityName>
      <candidateList>
        <item>）</item>
      </candidateList>
      <explain>文本全半角错误。</explain>
      <paraID> 8D63283</paraID>
      <start>42</start>
      <end>43</end>
      <status>modified</status>
      <modifiedWord>）</modifiedWord>
      <trackRevisions>false</trackRevisions>
    </reviewItem>
    <reviewItem>
      <errorID>52b5c820-8825-499c-8275-15a0a1e034b4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F300E24</paraID>
      <start>25</start>
      <end>27</end>
      <status>modified</status>
      <modifiedWord>》《</modifiedWord>
      <trackRevisions>false</trackRevisions>
    </reviewItem>
    <reviewItem>
      <errorID>f56ef29f-2339-40f3-8811-34ed090a4a25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F300E24</paraID>
      <start>39</start>
      <end>41</end>
      <status>modified</status>
      <modifiedWord>》《</modifiedWord>
      <trackRevisions>false</trackRevisions>
    </reviewItem>
    <reviewItem>
      <errorID>7af23db4-0c78-43ff-944e-e10f86eae5ef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F300E24</paraID>
      <start>51</start>
      <end>53</end>
      <status>modified</status>
      <modifiedWord>》《</modifiedWord>
      <trackRevisions>false</trackRevisions>
    </reviewItem>
    <reviewItem>
      <errorID>771bcadf-381f-4e65-975b-9658c96532c9</errorID>
      <errorWord>(</errorWord>
      <group>L1_Format</group>
      <groupName>格式问题</groupName>
      <ability>L2_HalfPunc</ability>
      <abilityName>全半角检查</abilityName>
      <candidateList>
        <item>（</item>
      </candidateList>
      <explain>文本全半角错误。</explain>
      <paraID>5038FE8F</paraID>
      <start>13</start>
      <end>14</end>
      <status>unmodified</status>
      <modifiedWord/>
      <trackRevisions>false</trackRevisions>
    </reviewItem>
    <reviewItem>
      <errorID>a147555d-9e68-4885-89e3-a4941f77c3ed</errorID>
      <errorWord>)</errorWord>
      <group>L1_Format</group>
      <groupName>格式问题</groupName>
      <ability>L2_HalfPunc</ability>
      <abilityName>全半角检查</abilityName>
      <candidateList>
        <item>）</item>
      </candidateList>
      <explain>文本全半角错误。</explain>
      <paraID>5038FE8F</paraID>
      <start>15</start>
      <end>16</end>
      <status>modified</status>
      <modifiedWord>）</modifiedWord>
      <trackRevisions>false</trackRevisions>
    </reviewItem>
    <reviewItem>
      <errorID>f3a1f8de-a89c-4c3e-9581-4bb6f4e69db0</errorID>
      <errorWord>(</errorWord>
      <group>L1_Format</group>
      <groupName>格式问题</groupName>
      <ability>L2_HalfPunc</ability>
      <abilityName>全半角检查</abilityName>
      <candidateList>
        <item>（</item>
      </candidateList>
      <explain>文本全半角错误。</explain>
      <paraID>5038FE8F</paraID>
      <start>23</start>
      <end>24</end>
      <status>modified</status>
      <modifiedWord>（</modifiedWord>
      <trackRevisions>false</trackRevisions>
    </reviewItem>
    <reviewItem>
      <errorID>3f53a9c8-1c28-4572-b130-76f7acb1b9a3</errorID>
      <errorWord>)</errorWord>
      <group>L1_Format</group>
      <groupName>格式问题</groupName>
      <ability>L2_HalfPunc</ability>
      <abilityName>全半角检查</abilityName>
      <candidateList>
        <item>）</item>
      </candidateList>
      <explain>文本全半角错误。</explain>
      <paraID>5038FE8F</paraID>
      <start>25</start>
      <end>26</end>
      <status>modified</status>
      <modifiedWord>）</modifiedWord>
      <trackRevisions>false</trackRevisions>
    </reviewItem>
    <reviewItem>
      <errorID>d542e1fe-19f4-4b99-beaa-2c7e01652755</errorID>
      <errorWord>(</errorWord>
      <group>L1_Format</group>
      <groupName>格式问题</groupName>
      <ability>L2_HalfPunc</ability>
      <abilityName>全半角检查</abilityName>
      <candidateList>
        <item>（</item>
      </candidateList>
      <explain>文本全半角错误。</explain>
      <paraID>5038FE8F</paraID>
      <start>32</start>
      <end>33</end>
      <status>modified</status>
      <modifiedWord>（</modifiedWord>
      <trackRevisions>false</trackRevisions>
    </reviewItem>
    <reviewItem>
      <errorID>ede90022-aac2-43bb-9301-b2f0926afdb4</errorID>
      <errorWord>)</errorWord>
      <group>L1_Format</group>
      <groupName>格式问题</groupName>
      <ability>L2_HalfPunc</ability>
      <abilityName>全半角检查</abilityName>
      <candidateList>
        <item>）</item>
      </candidateList>
      <explain>文本全半角错误。</explain>
      <paraID>5038FE8F</paraID>
      <start>34</start>
      <end>35</end>
      <status>modified</status>
      <modifiedWord>）</modifiedWord>
      <trackRevisions>false</trackRevisions>
    </reviewItem>
    <reviewItem>
      <errorID>a60a5c18-5558-4ea0-8db7-d42400418303</errorID>
      <errorWord>(</errorWord>
      <group>L1_Format</group>
      <groupName>格式问题</groupName>
      <ability>L2_HalfPunc</ability>
      <abilityName>全半角检查</abilityName>
      <candidateList>
        <item>（</item>
      </candidateList>
      <explain>文本全半角错误。</explain>
      <paraID>5038FE8F</paraID>
      <start>44</start>
      <end>45</end>
      <status>modified</status>
      <modifiedWord>（</modifiedWord>
      <trackRevisions>false</trackRevisions>
    </reviewItem>
    <reviewItem>
      <errorID>569e7bdc-a8f6-48f0-839b-9f84260145b5</errorID>
      <errorWord>)</errorWord>
      <group>L1_Format</group>
      <groupName>格式问题</groupName>
      <ability>L2_HalfPunc</ability>
      <abilityName>全半角检查</abilityName>
      <candidateList>
        <item>）</item>
      </candidateList>
      <explain>文本全半角错误。</explain>
      <paraID>5038FE8F</paraID>
      <start>46</start>
      <end>47</end>
      <status>modified</status>
      <modifiedWord>）</modifiedWord>
      <trackRevisions>false</trackRevisions>
    </reviewItem>
    <reviewItem>
      <errorID>7205a609-b0f5-4e06-b470-c9e6cb0ab644</errorID>
      <errorWord>)</errorWord>
      <group>L1_Format</group>
      <groupName>格式问题</groupName>
      <ability>L2_HalfPunc</ability>
      <abilityName>全半角检查</abilityName>
      <candidateList>
        <item>）</item>
      </candidateList>
      <explain>文本全半角错误。</explain>
      <paraID>5038FE8F</paraID>
      <start>55</start>
      <end>56</end>
      <status>modified</status>
      <modifiedWord>）</modifiedWord>
      <trackRevisions>false</trackRevisions>
    </reviewItem>
    <reviewItem>
      <errorID>ab5eefee-98c9-4ba3-a46c-8e0ff88bdee7</errorID>
      <errorWord>(</errorWord>
      <group>L1_Format</group>
      <groupName>格式问题</groupName>
      <ability>L2_HalfPunc</ability>
      <abilityName>全半角检查</abilityName>
      <candidateList>
        <item>（</item>
      </candidateList>
      <explain>文本全半角错误。</explain>
      <paraID>5038FE8F</paraID>
      <start>64</start>
      <end>65</end>
      <status>modified</status>
      <modifiedWord>（</modifiedWord>
      <trackRevisions>false</trackRevisions>
    </reviewItem>
    <reviewItem>
      <errorID>f546f2bc-4cfe-4f2d-9cc8-ebbe9350d31a</errorID>
      <errorWord>)</errorWord>
      <group>L1_Format</group>
      <groupName>格式问题</groupName>
      <ability>L2_HalfPunc</ability>
      <abilityName>全半角检查</abilityName>
      <candidateList>
        <item>）</item>
      </candidateList>
      <explain>文本全半角错误。</explain>
      <paraID>5038FE8F</paraID>
      <start>66</start>
      <end>67</end>
      <status>modified</status>
      <modifiedWord>）</modifiedWord>
      <trackRevisions>false</trackRevisions>
    </reviewItem>
    <reviewItem>
      <errorID>715e55f0-b7fb-422d-bcf4-4826f50e37d8</errorID>
      <errorWord>(</errorWord>
      <group>L1_Format</group>
      <groupName>格式问题</groupName>
      <ability>L2_HalfPunc</ability>
      <abilityName>全半角检查</abilityName>
      <candidateList>
        <item>（</item>
      </candidateList>
      <explain>文本全半角错误。</explain>
      <paraID>5038FE8F</paraID>
      <start>75</start>
      <end>76</end>
      <status>modified</status>
      <modifiedWord>（</modifiedWord>
      <trackRevisions>false</trackRevisions>
    </reviewItem>
    <reviewItem>
      <errorID>1fb40f7e-f270-4e36-8e72-d6307970c9fb</errorID>
      <errorWord>)</errorWord>
      <group>L1_Format</group>
      <groupName>格式问题</groupName>
      <ability>L2_HalfPunc</ability>
      <abilityName>全半角检查</abilityName>
      <candidateList>
        <item>）</item>
      </candidateList>
      <explain>文本全半角错误。</explain>
      <paraID>5038FE8F</paraID>
      <start>77</start>
      <end>78</end>
      <status>modified</status>
      <modifiedWord>）</modifiedWord>
      <trackRevisions>false</trackRevisions>
    </reviewItem>
    <reviewItem>
      <errorID>0702b70d-afe0-4287-8691-43d3c90c0bd6</errorID>
      <errorWord>(</errorWord>
      <group>L1_Format</group>
      <groupName>格式问题</groupName>
      <ability>L2_HalfPunc</ability>
      <abilityName>全半角检查</abilityName>
      <candidateList>
        <item>（</item>
      </candidateList>
      <explain>文本全半角错误。</explain>
      <paraID>5038FE8F</paraID>
      <start>87</start>
      <end>88</end>
      <status>modified</status>
      <modifiedWord>（</modifiedWord>
      <trackRevisions>false</trackRevisions>
    </reviewItem>
    <reviewItem>
      <errorID>b317aede-9fa1-4bb6-984d-3ba55abe2364</errorID>
      <errorWord>)</errorWord>
      <group>L1_Format</group>
      <groupName>格式问题</groupName>
      <ability>L2_HalfPunc</ability>
      <abilityName>全半角检查</abilityName>
      <candidateList>
        <item>）</item>
      </candidateList>
      <explain>文本全半角错误。</explain>
      <paraID>5038FE8F</paraID>
      <start>89</start>
      <end>90</end>
      <status>modified</status>
      <modifiedWord>）</modifiedWord>
      <trackRevisions>false</trackRevisions>
    </reviewItem>
    <reviewItem>
      <errorID>d19c7ff3-120f-4911-9332-267f114e5dae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270D157B</paraID>
      <start>0</start>
      <end>3</end>
      <status>modified</status>
      <modifiedWord>（1）</modifiedWord>
      <trackRevisions>false</trackRevisions>
    </reviewItem>
    <reviewItem>
      <errorID>faac8b04-c095-4766-98f6-b4e00f63fb3a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28148AD9</paraID>
      <start>0</start>
      <end>3</end>
      <status>modified</status>
      <modifiedWord>（2）</modifiedWord>
      <trackRevisions>false</trackRevisions>
    </reviewItem>
    <reviewItem>
      <errorID>0f4e55ab-2225-4541-9d11-a78700e7d1ea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335F8710</paraID>
      <start>0</start>
      <end>3</end>
      <status>modified</status>
      <modifiedWord>（3）</modifiedWord>
      <trackRevisions>false</trackRevisions>
    </reviewItem>
    <reviewItem>
      <errorID>6241fd39-ba35-4703-ab88-8a74b3c3bbc6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77A8F7D2</paraID>
      <start>0</start>
      <end>3</end>
      <status>modified</status>
      <modifiedWord>（4）</modifiedWord>
      <trackRevisions>false</trackRevisions>
    </reviewItem>
    <reviewItem>
      <errorID>7539b7f3-4ebc-4362-b576-975f8aa342c2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37725070</paraID>
      <start>0</start>
      <end>3</end>
      <status>modified</status>
      <modifiedWord>（5）</modifiedWord>
      <trackRevisions>false</trackRevisions>
    </reviewItem>
    <reviewItem>
      <errorID>42f27a93-74ff-425e-a86f-8011d578b854</errorID>
      <errorWord>顺利进展</errorWord>
      <group>L1_Word</group>
      <groupName>字词问题</groupName>
      <ability>L2_Typo</ability>
      <abilityName>字词错误</abilityName>
      <candidateList>
        <item>顺利开展</item>
      </candidateList>
      <explain>存在字形相近字词的误用。</explain>
      <paraID>37725070</paraID>
      <start>61</start>
      <end>65</end>
      <status>unmodified</status>
      <modifiedWord/>
      <trackRevisions>false</trackRevisions>
    </reviewItem>
    <reviewItem>
      <errorID>4fce2bea-5358-408d-91b5-5e0e005bb9ff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6E182EEA</paraID>
      <start>0</start>
      <end>3</end>
      <status>modified</status>
      <modifiedWord>（6）</modifiedWord>
      <trackRevisions>false</trackRevisions>
    </reviewItem>
    <reviewItem>
      <errorID>856e7b87-a07d-48da-9c26-fcc99f44b652</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6E182EEA</paraID>
      <start>8</start>
      <end>10</end>
      <status>modified</status>
      <modifiedWord>坐标</modifiedWord>
      <trackRevisions>false</trackRevisions>
    </reviewItem>
    <reviewItem>
      <errorID>54326449-a98e-4403-a14d-1e3192f07785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2588EE01</paraID>
      <start>0</start>
      <end>3</end>
      <status>modified</status>
      <modifiedWord>（7）</modifiedWord>
      <trackRevisions>false</trackRevisions>
    </reviewItem>
    <reviewItem>
      <errorID>f2a1b80f-e07a-40c4-949d-1aeff4a32fc6</errorID>
      <errorWord>括</errorWord>
      <group>L1_Word</group>
      <groupName>字词问题</groupName>
      <ability>L2_Typo</ability>
      <abilityName>字词错误</abilityName>
      <candidateList>
        <item>括但</item>
      </candidateList>
      <explain/>
      <paraID>5B1E40BA</paraID>
      <start>18</start>
      <end>20</end>
      <status>modified</status>
      <modifiedWord>括但</modifiedWord>
      <trackRevisions>false</trackRevisions>
    </reviewItem>
    <reviewItem>
      <errorID>5b1c49ea-26db-49be-b158-9a934f551909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1F8FEBBE</paraID>
      <start>0</start>
      <end>2</end>
      <status>modified</status>
      <modifiedWord>1.</modifiedWord>
      <trackRevisions>false</trackRevisions>
    </reviewItem>
    <reviewItem>
      <errorID>ac38f4b2-236d-4afd-829f-87d8d8d140d8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3A1E1BC9</paraID>
      <start>0</start>
      <end>2</end>
      <status>modified</status>
      <modifiedWord>2.</modifiedWord>
      <trackRevisions>false</trackRevisions>
    </reviewItem>
    <reviewItem>
      <errorID>f02de92c-6ceb-41c1-9d74-64a331204cd0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B6B40E0</paraID>
      <start>0</start>
      <end>2</end>
      <status>modified</status>
      <modifiedWord>3.</modifiedWord>
      <trackRevisions>false</trackRevisions>
    </reviewItem>
    <reviewItem>
      <errorID>c7298007-8bb6-4319-bff3-973fe897a0bb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6EEC2030</paraID>
      <start>0</start>
      <end>2</end>
      <status>modified</status>
      <modifiedWord>4.</modifiedWord>
      <trackRevisions>false</trackRevisions>
    </reviewItem>
    <reviewItem>
      <errorID>a26e02e1-1965-48f2-a8c0-db10f79c47f0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34D72BA6</paraID>
      <start>3</start>
      <end>5</end>
      <status>modified</status>
      <modifiedWord>5.</modifiedWord>
      <trackRevisions>false</trackRevisions>
    </reviewItem>
    <reviewItem>
      <errorID>dd8225e0-5019-4c1f-8808-5f8119e97db9</errorID>
      <errorWord>给与一定</errorWord>
      <group>L1_Word</group>
      <groupName>字词问题</groupName>
      <ability>L2_Alias</ability>
      <abilityName>也作/曾用词</abilityName>
      <candidateList>
        <item>给予一定</item>
      </candidateList>
      <explain>词汇[给与一定]为不规范表述或旧称，其规范书面表述为[给予一定]。</explain>
      <paraID>34D72BA6</paraID>
      <start>149</start>
      <end>153</end>
      <status>modified</status>
      <modifiedWord>给予一定</modifiedWord>
      <trackRevisions>false</trackRevisions>
    </reviewItem>
    <reviewItem>
      <errorID>1baeee03-df8a-4af4-a7b1-4499299a773f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74BD95F6</paraID>
      <start>3</start>
      <end>5</end>
      <status>modified</status>
      <modifiedWord>6.</modifiedWord>
      <trackRevisions>false</trackRevisions>
    </reviewItem>
    <reviewItem>
      <errorID>dcd0affb-8977-4950-a005-e7bd98a533d6</errorID>
      <errorWord>洒落</errorWord>
      <group>L1_Word</group>
      <groupName>字词问题</groupName>
      <ability>L2_Typo</ability>
      <abilityName>字词错误</abilityName>
      <candidateList>
        <item>撒落</item>
      </candidateList>
      <explain/>
      <paraID>74BD95F6</paraID>
      <start>213</start>
      <end>215</end>
      <status>modified</status>
      <modifiedWord>撒落</modifiedWord>
      <trackRevisions>false</trackRevisions>
    </reviewItem>
    <reviewItem>
      <errorID>23bbd607-00f8-4574-a787-ef735d7e4519</errorID>
      <errorWord>行使</errorWord>
      <group>L1_Word</group>
      <groupName>字词问题</groupName>
      <ability>L2_Typo</ability>
      <abilityName>字词错误</abilityName>
      <candidateList>
        <item>行驶</item>
      </candidateList>
      <explain>〈动〉（车、船）行走：列车向南～｜长江下游可以～万吨轮船。</explain>
      <paraID>74BD95F6</paraID>
      <start>221</start>
      <end>223</end>
      <status>modified</status>
      <modifiedWord>行驶</modifiedWord>
      <trackRevisions>false</trackRevisions>
    </reviewItem>
    <reviewItem>
      <errorID>ae35bdb8-cf59-47ca-b1c7-d83dd721df66</errorID>
      <errorWord>人</errorWord>
      <group>L1_Word</group>
      <groupName>字词问题</groupName>
      <ability>L2_Typo</ability>
      <abilityName>字词错误</abilityName>
      <candidateList>
        <item>人提</item>
      </candidateList>
      <explain/>
      <paraID>416C779C</paraID>
      <start>55</start>
      <end>57</end>
      <status>modified</status>
      <modifiedWord>人提</modifiedWord>
      <trackRevisions>false</trackRevisions>
    </reviewItem>
    <reviewItem>
      <errorID>5399ec82-422b-45ee-8668-05bba66d7e81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386A0A90</paraID>
      <start>129</start>
      <end>131</end>
      <status>modified</status>
      <modifiedWord>》《</modifiedWord>
      <trackRevisions>false</trackRevisions>
    </reviewItem>
    <reviewItem>
      <errorID>79865df2-a7cc-448e-9dfc-79b997a36059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386A0A90</paraID>
      <start>146</start>
      <end>148</end>
      <status>modified</status>
      <modifiedWord>》《</modifiedWord>
      <trackRevisions>false</trackRevisions>
    </reviewItem>
    <reviewItem>
      <errorID>7bc83df5-7a79-4ab8-b01e-7681344b3c43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386A0A90</paraID>
      <start>235</start>
      <end>237</end>
      <status>modified</status>
      <modifiedWord>》《</modifiedWord>
      <trackRevisions>false</trackRevisions>
    </reviewItem>
    <reviewItem>
      <errorID>cf52403e-88ca-4c00-a499-b45f4e994a1d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386A0A90</paraID>
      <start>252</start>
      <end>254</end>
      <status>modified</status>
      <modifiedWord>》《</modifiedWord>
      <trackRevisions>false</trackRevisions>
    </reviewItem>
    <reviewItem>
      <errorID>2d2d6b06-29ea-4869-b15e-8fcc945fd657</errorID>
      <errorWord>费</errorWord>
      <group>L1_Word</group>
      <groupName>字词问题</groupName>
      <ability>L2_Typo</ability>
      <abilityName>字词错误</abilityName>
      <candidateList>
        <item>费用</item>
      </candidateList>
      <explain/>
      <paraID>2625CFEB</paraID>
      <start>9</start>
      <end>11</end>
      <status>modified</status>
      <modifiedWord>费用</modifiedWord>
      <trackRevisions>false</trackRevisions>
    </reviewItem>
    <reviewItem>
      <errorID>71a9cdbc-fae2-4899-b1b6-d2fc7273efb1</errorID>
      <errorWord>费</errorWord>
      <group>L1_Word</group>
      <groupName>字词问题</groupName>
      <ability>L2_Typo</ability>
      <abilityName>字词错误</abilityName>
      <candidateList>
        <item>费用</item>
      </candidateList>
      <explain/>
      <paraID>42D6FD78</paraID>
      <start>48</start>
      <end>50</end>
      <status>modified</status>
      <modifiedWord>费用</modifiedWord>
      <trackRevisions>false</trackRevisions>
    </reviewItem>
    <reviewItem>
      <errorID>c6632bbf-8364-4a7d-8f39-f8e48ff21f26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7B1AE869</paraID>
      <start>0</start>
      <end>2</end>
      <status>modified</status>
      <modifiedWord>1.</modifiedWord>
      <trackRevisions>false</trackRevisions>
    </reviewItem>
    <reviewItem>
      <errorID>bc50cbe9-6de6-4323-814f-519a256087ee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53174983</paraID>
      <start>0</start>
      <end>2</end>
      <status>modified</status>
      <modifiedWord>2.</modifiedWord>
      <trackRevisions>false</trackRevisions>
    </reviewItem>
    <reviewItem>
      <errorID>494728bc-657f-44ea-9ddb-fd41b363492d</errorID>
      <errorWord>:</errorWord>
      <group>L1_Format</group>
      <groupName>格式问题</groupName>
      <ability>L2_HalfPunc</ability>
      <abilityName>全半角检查</abilityName>
      <candidateList>
        <item>：</item>
      </candidateList>
      <explain>文本全半角错误。</explain>
      <paraID>5085344B</paraID>
      <start>7</start>
      <end>8</end>
      <status>modified</status>
      <modifiedWord>：</modifiedWord>
      <trackRevisions>false</trackRevisions>
    </reviewItem>
    <reviewItem>
      <errorID>92e837a6-70ff-4e8a-9819-f1e985090d2c</errorID>
      <errorWord>:</errorWord>
      <group>L1_Format</group>
      <groupName>格式问题</groupName>
      <ability>L2_HalfPunc</ability>
      <abilityName>全半角检查</abilityName>
      <candidateList>
        <item>：</item>
      </candidateList>
      <explain>文本全半角错误。</explain>
      <paraID>42D6F944</paraID>
      <start>9</start>
      <end>10</end>
      <status>modified</status>
      <modifiedWord>：</modifiedWord>
      <trackRevisions>false</trackRevisions>
    </reviewItem>
    <reviewItem>
      <errorID>ee21c24f-51dd-45d3-8aac-14d1352e29bf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69DCC563</paraID>
      <start>23</start>
      <end>24</end>
      <status>modified</status>
      <modifiedWord>或</modifiedWord>
      <trackRevisions>false</trackRevisions>
    </reviewItem>
    <reviewItem>
      <errorID>47a2dc04-8e9f-4533-b4d4-9a78a477d3af</errorID>
      <errorWord>(</errorWord>
      <group>L1_Format</group>
      <groupName>格式问题</groupName>
      <ability>L2_HalfPunc</ability>
      <abilityName>全半角检查</abilityName>
      <candidateList>
        <item>（</item>
      </candidateList>
      <explain>文本全半角错误。</explain>
      <paraID>32F3E5FC</paraID>
      <start>47</start>
      <end>48</end>
      <status>modified</status>
      <modifiedWord>（</modifiedWord>
      <trackRevisions>false</trackRevisions>
    </reviewItem>
    <reviewItem>
      <errorID>7f66aadc-e6d9-4161-8fe5-fbb96a0b9f98</errorID>
      <errorWord>)</errorWord>
      <group>L1_Format</group>
      <groupName>格式问题</groupName>
      <ability>L2_HalfPunc</ability>
      <abilityName>全半角检查</abilityName>
      <candidateList>
        <item>）</item>
      </candidateList>
      <explain>文本全半角错误。</explain>
      <paraID>32F3E5FC</paraID>
      <start>65</start>
      <end>66</end>
      <status>modified</status>
      <modifiedWord>）</modifiedWord>
      <trackRevisions>false</trackRevisions>
    </reviewItem>
    <reviewItem>
      <errorID>41e92f18-4070-46df-a671-09bfc40ea130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5DD53595</paraID>
      <start>0</start>
      <end>2</end>
      <status>modified</status>
      <modifiedWord>1.</modifiedWord>
      <trackRevisions>false</trackRevisions>
    </reviewItem>
    <reviewItem>
      <errorID>65a8d7b9-18fc-41b1-94f2-c437c095e1b0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77F3308D</paraID>
      <start>0</start>
      <end>2</end>
      <status>modified</status>
      <modifiedWord>2.</modifiedWord>
      <trackRevisions>false</trackRevisions>
    </reviewItem>
    <reviewItem>
      <errorID>65edaa37-b693-4a7d-b0ca-db4ec36b53c9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79616B0C</paraID>
      <start>0</start>
      <end>2</end>
      <status>modified</status>
      <modifiedWord>3.</modifiedWord>
      <trackRevisions>false</trackRevisions>
    </reviewItem>
    <reviewItem>
      <errorID>e2d823c6-d1e4-4888-8d96-0186b1f99398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43155A6D</paraID>
      <start>0</start>
      <end>2</end>
      <status>modified</status>
      <modifiedWord>4.</modifiedWord>
      <trackRevisions>false</trackRevisions>
    </reviewItem>
    <reviewItem>
      <errorID>e696559f-6673-493d-a619-9758be6db20f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11C2939E</paraID>
      <start>0</start>
      <end>2</end>
      <status>modified</status>
      <modifiedWord>5.</modifiedWord>
      <trackRevisions>false</trackRevisions>
    </reviewItem>
    <reviewItem>
      <errorID>0bb07e64-c5a3-4574-944a-c073f51af2fe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3EF58A3A</paraID>
      <start>0</start>
      <end>2</end>
      <status>modified</status>
      <modifiedWord>6.</modifiedWord>
      <trackRevisions>false</trackRevisions>
    </reviewItem>
    <reviewItem>
      <errorID>251bb2a4-47bf-4997-8758-e2db3713a52c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48290373</paraID>
      <start>0</start>
      <end>2</end>
      <status>modified</status>
      <modifiedWord>1.</modifiedWord>
      <trackRevisions>false</trackRevisions>
    </reviewItem>
    <reviewItem>
      <errorID>bb4cd0a6-46a1-4482-a0b7-2dc349a918e6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21C4A8AC</paraID>
      <start>0</start>
      <end>2</end>
      <status>modified</status>
      <modifiedWord>2.</modifiedWord>
      <trackRevisions>false</trackRevisions>
    </reviewItem>
    <reviewItem>
      <errorID>39506d15-b12f-4fdf-8b35-83423a57997b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61116F3</paraID>
      <start>0</start>
      <end>2</end>
      <status>modified</status>
      <modifiedWord>3.</modifiedWord>
      <trackRevisions>false</trackRevisions>
    </reviewItem>
    <reviewItem>
      <errorID>517e62da-4794-4b95-8d82-402892d53003</errorID>
      <errorWord>，</errorWord>
      <group>L1_Word</group>
      <groupName>字词问题</groupName>
      <ability>L2_Typo</ability>
      <abilityName>字词错误</abilityName>
      <candidateList>
        <item>，由</item>
      </candidateList>
      <explain/>
      <paraID> 61116F3</paraID>
      <start>92</start>
      <end>94</end>
      <status>modified</status>
      <modifiedWord>，由</modifiedWord>
      <trackRevisions>false</trackRevisions>
    </reviewItem>
    <reviewItem>
      <errorID>109a27be-339a-4025-a752-0e6dc76e446f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34A1EF03</paraID>
      <start>0</start>
      <end>2</end>
      <status>modified</status>
      <modifiedWord>4.</modifiedWord>
      <trackRevisions>false</trackRevisions>
    </reviewItem>
    <reviewItem>
      <errorID>02ad73f3-ec3d-4935-b6b7-b438d4813b33</errorID>
      <errorWord>(</errorWord>
      <group>L1_Format</group>
      <groupName>格式问题</groupName>
      <ability>L2_HalfPunc</ability>
      <abilityName>全半角检查</abilityName>
      <candidateList>
        <item>（</item>
      </candidateList>
      <explain>文本全半角错误。</explain>
      <paraID>1864B3CF</paraID>
      <start>3</start>
      <end>4</end>
      <status>modified</status>
      <modifiedWord>（</modifiedWord>
      <trackRevisions>false</trackRevisions>
    </reviewItem>
    <reviewItem>
      <errorID>61b1c23d-aa1d-4a43-9067-1244708b41b7</errorID>
      <errorWord>)</errorWord>
      <group>L1_Format</group>
      <groupName>格式问题</groupName>
      <ability>L2_HalfPunc</ability>
      <abilityName>全半角检查</abilityName>
      <candidateList>
        <item>）</item>
      </candidateList>
      <explain>文本全半角错误。</explain>
      <paraID>1864B3CF</paraID>
      <start>6</start>
      <end>7</end>
      <status>modified</status>
      <modifiedWord>）</modifiedWord>
      <trackRevisions>false</trackRevisions>
    </reviewItem>
    <reviewItem>
      <errorID>630d349b-98a1-4aa6-b1a9-f8e5c1ea28f0</errorID>
      <errorWord>(</errorWord>
      <group>L1_Format</group>
      <groupName>格式问题</groupName>
      <ability>L2_HalfPunc</ability>
      <abilityName>全半角检查</abilityName>
      <candidateList>
        <item>（</item>
      </candidateList>
      <explain>文本全半角错误。</explain>
      <paraID>1864B3CF</paraID>
      <start>23</start>
      <end>24</end>
      <status>modified</status>
      <modifiedWord>（</modifiedWord>
      <trackRevisions>false</trackRevisions>
    </reviewItem>
    <reviewItem>
      <errorID>d0d2d8ee-dd6c-4c26-b88a-ccc4605a7769</errorID>
      <errorWord>)</errorWord>
      <group>L1_Format</group>
      <groupName>格式问题</groupName>
      <ability>L2_HalfPunc</ability>
      <abilityName>全半角检查</abilityName>
      <candidateList>
        <item>）</item>
      </candidateList>
      <explain>文本全半角错误。</explain>
      <paraID>1864B3CF</paraID>
      <start>26</start>
      <end>27</end>
      <status>modified</status>
      <modifiedWord>）</modifiedWord>
      <trackRevisions>false</trackRevisions>
    </reviewItem>
    <reviewItem>
      <errorID>1b36a29c-22b5-4cf0-b88b-7b00b2a19c92</errorID>
      <errorWord>(</errorWord>
      <group>L1_Format</group>
      <groupName>格式问题</groupName>
      <ability>L2_HalfPunc</ability>
      <abilityName>全半角检查</abilityName>
      <candidateList>
        <item>（</item>
      </candidateList>
      <explain>文本全半角错误。</explain>
      <paraID>6EFF70F4</paraID>
      <start>5</start>
      <end>6</end>
      <status>modified</status>
      <modifiedWord>（</modifiedWord>
      <trackRevisions>false</trackRevisions>
    </reviewItem>
    <reviewItem>
      <errorID>681da71d-f04c-427f-b1f6-23e04ee976df</errorID>
      <errorWord>)</errorWord>
      <group>L1_Format</group>
      <groupName>格式问题</groupName>
      <ability>L2_HalfPunc</ability>
      <abilityName>全半角检查</abilityName>
      <candidateList>
        <item>）</item>
      </candidateList>
      <explain>文本全半角错误。</explain>
      <paraID>6EFF70F4</paraID>
      <start>8</start>
      <end>9</end>
      <status>modified</status>
      <modifiedWord>）</modifiedWord>
      <trackRevisions>false</trackRevisions>
    </reviewItem>
    <reviewItem>
      <errorID>91fd7ca0-5fba-4e58-8049-d9c44c1c2661</errorID>
      <errorWord>(</errorWord>
      <group>L1_Format</group>
      <groupName>格式问题</groupName>
      <ability>L2_HalfPunc</ability>
      <abilityName>全半角检查</abilityName>
      <candidateList>
        <item>（</item>
      </candidateList>
      <explain>文本全半角错误。</explain>
      <paraID>6EFF70F4</paraID>
      <start>22</start>
      <end>23</end>
      <status>modified</status>
      <modifiedWord>（</modifiedWord>
      <trackRevisions>false</trackRevisions>
    </reviewItem>
    <reviewItem>
      <errorID>0e9dc45b-f447-4cd1-9c93-a5277f3fca2a</errorID>
      <errorWord>)</errorWord>
      <group>L1_Format</group>
      <groupName>格式问题</groupName>
      <ability>L2_HalfPunc</ability>
      <abilityName>全半角检查</abilityName>
      <candidateList>
        <item>）</item>
      </candidateList>
      <explain>文本全半角错误。</explain>
      <paraID>6EFF70F4</paraID>
      <start>25</start>
      <end>26</end>
      <status>modified</status>
      <modifiedWord>）</modifiedWord>
      <trackRevisions>false</trackRevisions>
    </reviewItem>
    <reviewItem>
      <errorID>c6a4827f-dc99-4106-8c12-5cdf3d4b76f3</errorID>
      <errorWord>(</errorWord>
      <group>L1_Format</group>
      <groupName>格式问题</groupName>
      <ability>L2_HalfPunc</ability>
      <abilityName>全半角检查</abilityName>
      <candidateList>
        <item>（</item>
      </candidateList>
      <explain>文本全半角错误。</explain>
      <paraID>27A79CA6</paraID>
      <start>5</start>
      <end>6</end>
      <status>modified</status>
      <modifiedWord>（</modifiedWord>
      <trackRevisions>false</trackRevisions>
    </reviewItem>
    <reviewItem>
      <errorID>6b51038a-084b-4ce3-97af-1595e8004559</errorID>
      <errorWord>)</errorWord>
      <group>L1_Format</group>
      <groupName>格式问题</groupName>
      <ability>L2_HalfPunc</ability>
      <abilityName>全半角检查</abilityName>
      <candidateList>
        <item>）</item>
      </candidateList>
      <explain>文本全半角错误。</explain>
      <paraID>27A79CA6</paraID>
      <start>8</start>
      <end>9</end>
      <status>modified</status>
      <modifiedWord>）</modifiedWord>
      <trackRevisions>false</trackRevisions>
    </reviewItem>
    <reviewItem>
      <errorID>c35ac653-78d3-4820-8329-a3ea62901b0a</errorID>
      <errorWord>(</errorWord>
      <group>L1_Format</group>
      <groupName>格式问题</groupName>
      <ability>L2_HalfPunc</ability>
      <abilityName>全半角检查</abilityName>
      <candidateList>
        <item>（</item>
      </candidateList>
      <explain>文本全半角错误。</explain>
      <paraID>27A79CA6</paraID>
      <start>22</start>
      <end>23</end>
      <status>modified</status>
      <modifiedWord>（</modifiedWord>
      <trackRevisions>false</trackRevisions>
    </reviewItem>
    <reviewItem>
      <errorID>389f1f7b-cd5f-4898-b7a7-753df4469d68</errorID>
      <errorWord>)</errorWord>
      <group>L1_Format</group>
      <groupName>格式问题</groupName>
      <ability>L2_HalfPunc</ability>
      <abilityName>全半角检查</abilityName>
      <candidateList>
        <item>）</item>
      </candidateList>
      <explain>文本全半角错误。</explain>
      <paraID>27A79CA6</paraID>
      <start>25</start>
      <end>26</end>
      <status>modified</status>
      <modifiedWord>）</modifiedWord>
      <trackRevisions>false</trackRevisions>
    </reviewItem>
    <reviewItem>
      <errorID>454718ae-4603-49f9-b96a-0fe9e44d5e74</errorID>
      <errorWord>有</errorWord>
      <group>L1_Word</group>
      <groupName>字词问题</groupName>
      <ability>L2_Typo</ability>
      <abilityName>字词错误</abilityName>
      <candidateList>
        <item>由</item>
      </candidateList>
      <explain>存在发音相同字词的误用。</explain>
      <paraID>34AD544D</paraID>
      <start>77</start>
      <end>78</end>
      <status>modified</status>
      <modifiedWord>由</modifiedWord>
      <trackRevisions>false</trackRevisions>
    </reviewItem>
    <reviewItem>
      <errorID>bfb8fb9c-c236-4586-8837-3ca486b1dc54</errorID>
      <errorWord>费</errorWord>
      <group>L1_Word</group>
      <groupName>字词问题</groupName>
      <ability>L2_Typo</ability>
      <abilityName>字词错误</abilityName>
      <candidateList>
        <item>费用</item>
      </candidateList>
      <explain/>
      <paraID>5FCF2F19</paraID>
      <start>94</start>
      <end>96</end>
      <status>modified</status>
      <modifiedWord>费用</modifiedWord>
      <trackRevisions>false</trackRevisions>
    </reviewItem>
    <reviewItem>
      <errorID>6980098b-5787-4443-9b54-e7ad082ab06f</errorID>
      <errorWord>涉及到</errorWord>
      <group>L1_Word</group>
      <groupName>字词问题</groupName>
      <ability>L2_Typo</ability>
      <abilityName>字词错误</abilityName>
      <candidateList>
        <item>涉及</item>
      </candidateList>
      <explain>〈动〉牵涉到；关联到：案子～好几个人｜这个问题～面很广。</explain>
      <paraID> F019BE4</paraID>
      <start>3</start>
      <end>5</end>
      <status>modified</status>
      <modifiedWord>涉及</modifiedWord>
      <trackRevisions>false</trackRevisions>
    </reviewItem>
    <reviewItem>
      <errorID>6d4a542f-de16-42ba-a261-e7f43f35cab9</errorID>
      <errorWord>有</errorWord>
      <group>L1_Word</group>
      <groupName>字词问题</groupName>
      <ability>L2_Typo</ability>
      <abilityName>字词错误</abilityName>
      <candidateList>
        <item>由</item>
      </candidateList>
      <explain>存在发音相同字词的误用。</explain>
      <paraID>20A17021</paraID>
      <start>95</start>
      <end>96</end>
      <status>modified</status>
      <modifiedWord>由</modifiedWord>
      <trackRevisions>false</trackRevisions>
    </reviewItem>
    <reviewItem>
      <errorID>dce7794e-2231-4d27-b9a1-749dea77dca7</errorID>
      <errorWord>另要</errorWord>
      <group>L1_Word</group>
      <groupName>字词问题</groupName>
      <ability>L2_Typo</ability>
      <abilityName>字词错误</abilityName>
      <candidateList>
        <item>另</item>
      </candidateList>
      <explain/>
      <paraID>50198A02</paraID>
      <start>17</start>
      <end>18</end>
      <status>modified</status>
      <modifiedWord>另</modifiedWord>
      <trackRevisions>false</trackRevisions>
    </reviewItem>
    <reviewItem>
      <errorID>40674b03-912c-422b-a980-3f9ebf1d6c35</errorID>
      <errorWord>定货</errorWord>
      <group>L1_Word</group>
      <groupName>字词问题</groupName>
      <ability>L2_Variant</ability>
      <abilityName>异形词</abilityName>
      <candidateList>
        <item>订货</item>
      </candidateList>
      <explain>词汇[定货]的规范词形写作[订货]。</explain>
      <paraID>49F1F6C3</paraID>
      <start>35</start>
      <end>37</end>
      <status>modified</status>
      <modifiedWord>订货</modifiedWord>
      <trackRevisions>false</trackRevisions>
    </reviewItem>
    <reviewItem>
      <errorID>6b1ab359-75a5-4daa-bdd6-3df0190d96ea</errorID>
      <errorWord>,</errorWord>
      <group>L1_Format</group>
      <groupName>格式问题</groupName>
      <ability>L2_HalfPunc</ability>
      <abilityName>全半角检查</abilityName>
      <candidateList>
        <item>，</item>
      </candidateList>
      <explain>文本全半角错误。</explain>
      <paraID>49F1F6C3</paraID>
      <start>37</start>
      <end>38</end>
      <status>modified</status>
      <modifiedWord>，</modifiedWord>
      <trackRevisions>false</trackRevisions>
    </reviewItem>
    <reviewItem>
      <errorID>41f6c0dd-2938-453d-a500-a8937b53556b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6C718E10</paraID>
      <start>89</start>
      <end>91</end>
      <status>modified</status>
      <modifiedWord>》《</modifiedWord>
      <trackRevisions>false</trackRevisions>
    </reviewItem>
    <reviewItem>
      <errorID>dc2a1e12-43fd-4be8-8985-ebaa4d4ff040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6C718E10</paraID>
      <start>101</start>
      <end>103</end>
      <status>modified</status>
      <modifiedWord>》《</modifiedWord>
      <trackRevisions>false</trackRevisions>
    </reviewItem>
    <reviewItem>
      <errorID>b600bb63-5814-4ab1-92bb-85696a09b4f1</errorID>
      <errorWord>法律、法规</errorWord>
      <group>L1_Word</group>
      <groupName>字词问题</groupName>
      <ability>L2_Typo</ability>
      <abilityName>字词错误</abilityName>
      <candidateList>
        <item>法律法规</item>
      </candidateList>
      <explain/>
      <paraID>6C718E10</paraID>
      <start>119</start>
      <end>123</end>
      <status>modified</status>
      <modifiedWord>法律法规</modifiedWord>
      <trackRevisions>false</trackRevisions>
    </reviewItem>
    <reviewItem>
      <errorID>aa41d538-9afa-4ee9-ab1a-e2ef15f28ebb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12A8BD7E</paraID>
      <start>0</start>
      <end>2</end>
      <status>modified</status>
      <modifiedWord>1.</modifiedWord>
      <trackRevisions>false</trackRevisions>
    </reviewItem>
    <reviewItem>
      <errorID>4633e613-6ace-4a17-bd5a-2210d0debc94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633773D6</paraID>
      <start>0</start>
      <end>2</end>
      <status>modified</status>
      <modifiedWord>2.</modifiedWord>
      <trackRevisions>false</trackRevisions>
    </reviewItem>
    <reviewItem>
      <errorID>7f9aa782-8609-4e1f-ba6d-673f2896a82d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6E967B11</paraID>
      <start>0</start>
      <end>2</end>
      <status>modified</status>
      <modifiedWord>3.</modifiedWord>
      <trackRevisions>false</trackRevisions>
    </reviewItem>
    <reviewItem>
      <errorID>e33dc800-c1fa-4642-92c5-fc375848ced1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7F3EFB3</paraID>
      <start>0</start>
      <end>2</end>
      <status>modified</status>
      <modifiedWord>4.</modifiedWord>
      <trackRevisions>false</trackRevisions>
    </reviewItem>
    <reviewItem>
      <errorID>c785ab92-f434-4fc8-9cdb-cb357e06050e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4F22A090</paraID>
      <start>0</start>
      <end>2</end>
      <status>modified</status>
      <modifiedWord>5.</modifiedWord>
      <trackRevisions>false</trackRevisions>
    </reviewItem>
    <reviewItem>
      <errorID>44027441-455a-4c51-9f48-412fb7d54732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20992C7B</paraID>
      <start>0</start>
      <end>2</end>
      <status>modified</status>
      <modifiedWord>1.</modifiedWord>
      <trackRevisions>false</trackRevisions>
    </reviewItem>
    <reviewItem>
      <errorID>88bf608f-2f10-4f66-913d-22f92fe21585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3B7E0D2C</paraID>
      <start>0</start>
      <end>2</end>
      <status>modified</status>
      <modifiedWord>2.</modifiedWord>
      <trackRevisions>false</trackRevisions>
    </reviewItem>
    <reviewItem>
      <errorID>b8fb0757-b282-4dd5-b9dc-7e2aa2dfae4d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717912CE</paraID>
      <start>0</start>
      <end>2</end>
      <status>modified</status>
      <modifiedWord>3.</modifiedWord>
      <trackRevisions>false</trackRevisions>
    </reviewItem>
    <reviewItem>
      <errorID>611183af-1cce-48c8-8d04-615e3e111111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15E88AF4</paraID>
      <start>0</start>
      <end>2</end>
      <status>modified</status>
      <modifiedWord>1.</modifiedWord>
      <trackRevisions>false</trackRevisions>
    </reviewItem>
    <reviewItem>
      <errorID>0fc5583a-f1ee-436e-abc8-8bfc5705c790</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15E88AF4</paraID>
      <start>8</start>
      <end>9</end>
      <status>modified</status>
      <modifiedWord>并</modifiedWord>
      <trackRevisions>false</trackRevisions>
    </reviewItem>
    <reviewItem>
      <errorID>7d3ba1f7-8071-4cf6-b425-99726b58b673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3D60D576</paraID>
      <start>0</start>
      <end>2</end>
      <status>modified</status>
      <modifiedWord>2.</modifiedWord>
      <trackRevisions>false</trackRevisions>
    </reviewItem>
    <reviewItem>
      <errorID>c5f74161-4bae-4d3f-bc67-d022380005af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5C41F458</paraID>
      <start>0</start>
      <end>2</end>
      <status>modified</status>
      <modifiedWord>3.</modifiedWord>
      <trackRevisions>false</trackRevisions>
    </reviewItem>
    <reviewItem>
      <errorID>b2842c29-720b-444a-9db9-19ca80cb7e8d</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5C41F458</paraID>
      <start>49</start>
      <end>50</end>
      <status>modified</status>
      <modifiedWord>并</modifiedWord>
      <trackRevisions>false</trackRevisions>
    </reviewItem>
    <reviewItem>
      <errorID>c494db49-cde2-4d4d-a6f2-225ffa4d5dd3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1FFEF511</paraID>
      <start>0</start>
      <end>2</end>
      <status>modified</status>
      <modifiedWord>4.</modifiedWord>
      <trackRevisions>false</trackRevisions>
    </reviewItem>
    <reviewItem>
      <errorID>68cfc4fa-857e-47dd-a0b2-aaa1b9d8d2b9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5E9AA8DD</paraID>
      <start>0</start>
      <end>2</end>
      <status>modified</status>
      <modifiedWord>5.</modifiedWord>
      <trackRevisions>false</trackRevisions>
    </reviewItem>
    <reviewItem>
      <errorID>dac367fa-09cc-4ec3-af70-45ea75bf02ec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4199B197</paraID>
      <start>0</start>
      <end>2</end>
      <status>modified</status>
      <modifiedWord>6.</modifiedWord>
      <trackRevisions>false</trackRevisions>
    </reviewItem>
    <reviewItem>
      <errorID>bba44e61-0c9e-4a86-b683-af86a1c03990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162BC40F</paraID>
      <start>0</start>
      <end>2</end>
      <status>modified</status>
      <modifiedWord>7.</modifiedWord>
      <trackRevisions>false</trackRevisions>
    </reviewItem>
    <reviewItem>
      <errorID>98f6a5c2-9902-4088-976d-bcaff6801c4d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2392210C</paraID>
      <start>0</start>
      <end>2</end>
      <status>modified</status>
      <modifiedWord>8.</modifiedWord>
      <trackRevisions>false</trackRevisions>
    </reviewItem>
    <reviewItem>
      <errorID>348ea49e-4bc0-43ba-8539-c4d9e1f41a8a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74060F79</paraID>
      <start>0</start>
      <end>2</end>
      <status>modified</status>
      <modifiedWord>9.</modifiedWord>
      <trackRevisions>false</trackRevisions>
    </reviewItem>
    <reviewItem>
      <errorID>41fd2102-4d1f-413a-968f-9a304949f80b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2C1FEEDB</paraID>
      <start>0</start>
      <end>3</end>
      <status>modified</status>
      <modifiedWord>10.</modifiedWord>
      <trackRevisions>false</trackRevisions>
    </reviewItem>
    <reviewItem>
      <errorID>9271d7cb-a0f1-41c1-8fa2-ce9f4ee69336</errorID>
      <errorWord>因为</errorWord>
      <group>L1_Word</group>
      <groupName>字词问题</groupName>
      <ability>L2_Typo</ability>
      <abilityName>字词错误</abilityName>
      <candidateList>
        <item>因</item>
      </candidateList>
      <explain/>
      <paraID>2C1FEEDB</paraID>
      <start>9</start>
      <end>10</end>
      <status>modified</status>
      <modifiedWord>因</modifiedWord>
      <trackRevisions>false</trackRevisions>
    </reviewItem>
    <reviewItem>
      <errorID>3aa2020e-5865-4277-934b-b154f29e3845</errorID>
      <errorWord>(</errorWord>
      <group>L1_Format</group>
      <groupName>格式问题</groupName>
      <ability>L2_HalfPunc</ability>
      <abilityName>全半角检查</abilityName>
      <candidateList>
        <item>（</item>
      </candidateList>
      <explain>文本全半角错误。</explain>
      <paraID>27C12EA8</paraID>
      <start>13</start>
      <end>14</end>
      <status>modified</status>
      <modifiedWord>（</modifiedWord>
      <trackRevisions>false</trackRevisions>
    </reviewItem>
    <reviewItem>
      <errorID>c3f17ab0-5f6a-4599-9d21-dbc453b35990</errorID>
      <errorWord>)</errorWord>
      <group>L1_Format</group>
      <groupName>格式问题</groupName>
      <ability>L2_HalfPunc</ability>
      <abilityName>全半角检查</abilityName>
      <candidateList>
        <item>）</item>
      </candidateList>
      <explain>文本全半角错误。</explain>
      <paraID>27C12EA8</paraID>
      <start>15</start>
      <end>16</end>
      <status>modified</status>
      <modifiedWord>）</modifiedWord>
      <trackRevisions>false</trackRevisions>
    </reviewItem>
    <reviewItem>
      <errorID>4f05c496-0403-4da5-bc31-983cbf467153</errorID>
      <errorWord>(</errorWord>
      <group>L1_Format</group>
      <groupName>格式问题</groupName>
      <ability>L2_HalfPunc</ability>
      <abilityName>全半角检查</abilityName>
      <candidateList>
        <item>（</item>
      </candidateList>
      <explain>文本全半角错误。</explain>
      <paraID>27C12EA8</paraID>
      <start>48</start>
      <end>49</end>
      <status>modified</status>
      <modifiedWord>（</modifiedWord>
      <trackRevisions>false</trackRevisions>
    </reviewItem>
    <reviewItem>
      <errorID>2df575c0-77b7-4d0f-86f1-80cc52ac6f29</errorID>
      <errorWord>)</errorWord>
      <group>L1_Format</group>
      <groupName>格式问题</groupName>
      <ability>L2_HalfPunc</ability>
      <abilityName>全半角检查</abilityName>
      <candidateList>
        <item>）</item>
      </candidateList>
      <explain>文本全半角错误。</explain>
      <paraID>27C12EA8</paraID>
      <start>50</start>
      <end>51</end>
      <status>modified</status>
      <modifiedWord>）</modifiedWord>
      <trackRevisions>false</trackRevisions>
    </reviewItem>
    <reviewItem>
      <errorID>0c20a79c-ffcd-441e-82c1-9207af3b493d</errorID>
      <errorWord>档</errorWord>
      <group>L1_Word</group>
      <groupName>字词问题</groupName>
      <ability>L2_Typo</ability>
      <abilityName>字词错误</abilityName>
      <candidateList>
        <item>挡</item>
      </candidateList>
      <explain/>
      <paraID>5B8ABDD6</paraID>
      <start>20</start>
      <end>21</end>
      <status>modified</status>
      <modifiedWord>挡</modifiedWord>
      <trackRevisions>false</trackRevisions>
    </reviewItem>
    <reviewItem>
      <errorID>6a62ef0f-2fe6-4439-a2ce-51dffdcd9a27</errorID>
      <errorWord>"</errorWord>
      <group>L1_Format</group>
      <groupName>格式问题</groupName>
      <ability>L2_HalfPunc</ability>
      <abilityName>全半角检查</abilityName>
      <candidateList>
        <item>“</item>
      </candidateList>
      <explain>文本全半角错误。</explain>
      <paraID>2D55F22B</paraID>
      <start>2</start>
      <end>3</end>
      <status>modified</status>
      <modifiedWord>“</modifiedWord>
      <trackRevisions>false</trackRevisions>
    </reviewItem>
    <reviewItem>
      <errorID>fa352858-6458-41f2-9111-feff666f08ca</errorID>
      <errorWord>,</errorWord>
      <group>L1_Format</group>
      <groupName>格式问题</groupName>
      <ability>L2_HalfPunc</ability>
      <abilityName>全半角检查</abilityName>
      <candidateList>
        <item>，</item>
      </candidateList>
      <explain>文本全半角错误。</explain>
      <paraID>2D55F22B</paraID>
      <start>7</start>
      <end>8</end>
      <status>modified</status>
      <modifiedWord>，</modifiedWord>
      <trackRevisions>false</trackRevisions>
    </reviewItem>
    <reviewItem>
      <errorID>4020a470-33b1-4db4-a119-e837e511c616</errorID>
      <errorWord>"</errorWord>
      <group>L1_Format</group>
      <groupName>格式问题</groupName>
      <ability>L2_HalfPunc</ability>
      <abilityName>全半角检查</abilityName>
      <candidateList>
        <item>”</item>
      </candidateList>
      <explain>文本全半角错误。</explain>
      <paraID>2D55F22B</paraID>
      <start>17</start>
      <end>18</end>
      <status>modified</status>
      <modifiedWord>”</modifiedWord>
      <trackRevisions>false</trackRevisions>
    </reviewItem>
    <reviewItem>
      <errorID>dc2aeb2d-5133-474b-ba6d-276fdc3af139</errorID>
      <errorWord>,</errorWord>
      <group>L1_Format</group>
      <groupName>格式问题</groupName>
      <ability>L2_HalfPunc</ability>
      <abilityName>全半角检查</abilityName>
      <candidateList>
        <item>，</item>
      </candidateList>
      <explain>文本全半角错误。</explain>
      <paraID>2D55F22B</paraID>
      <start>21</start>
      <end>22</end>
      <status>modified</status>
      <modifiedWord>，</modifiedWord>
      <trackRevisions>false</trackRevisions>
    </reviewItem>
    <reviewItem>
      <errorID>6cbaf686-d2b2-453c-8202-f67a2f629c33</errorID>
      <errorWord>,</errorWord>
      <group>L1_Format</group>
      <groupName>格式问题</groupName>
      <ability>L2_HalfPunc</ability>
      <abilityName>全半角检查</abilityName>
      <candidateList>
        <item>，</item>
      </candidateList>
      <explain>文本全半角错误。</explain>
      <paraID>3507FB95</paraID>
      <start>18</start>
      <end>19</end>
      <status>modified</status>
      <modifiedWord>，</modifiedWord>
      <trackRevisions>false</trackRevisions>
    </reviewItem>
    <reviewItem>
      <errorID>563d8c56-96b5-414a-aafc-4b7e2196461f</errorID>
      <errorWord>,</errorWord>
      <group>L1_Format</group>
      <groupName>格式问题</groupName>
      <ability>L2_HalfPunc</ability>
      <abilityName>全半角检查</abilityName>
      <candidateList>
        <item>，</item>
      </candidateList>
      <explain>文本全半角错误。</explain>
      <paraID>3507FB95</paraID>
      <start>44</start>
      <end>45</end>
      <status>modified</status>
      <modifiedWord>，</modifiedWord>
      <trackRevisions>false</trackRevisions>
    </reviewItem>
    <reviewItem>
      <errorID>d5459d5d-b101-4144-94d5-27b6f47c5c95</errorID>
      <errorWord>,</errorWord>
      <group>L1_Format</group>
      <groupName>格式问题</groupName>
      <ability>L2_HalfPunc</ability>
      <abilityName>全半角检查</abilityName>
      <candidateList>
        <item>，</item>
      </candidateList>
      <explain>文本全半角错误。</explain>
      <paraID>3507FB95</paraID>
      <start>47</start>
      <end>48</end>
      <status>modified</status>
      <modifiedWord>，</modifiedWord>
      <trackRevisions>false</trackRevisions>
    </reviewItem>
    <reviewItem>
      <errorID>4f125543-c03b-4155-923e-df023e81700b</errorID>
      <errorWord>,</errorWord>
      <group>L1_Format</group>
      <groupName>格式问题</groupName>
      <ability>L2_HalfPunc</ability>
      <abilityName>全半角检查</abilityName>
      <candidateList>
        <item>，</item>
      </candidateList>
      <explain>文本全半角错误。</explain>
      <paraID>3507FB95</paraID>
      <start>50</start>
      <end>51</end>
      <status>modified</status>
      <modifiedWord>，</modifiedWord>
      <trackRevisions>false</trackRevisions>
    </reviewItem>
    <reviewItem>
      <errorID>b4afbde9-1620-4e10-8658-469ab5b36304</errorID>
      <errorWord>,</errorWord>
      <group>L1_Format</group>
      <groupName>格式问题</groupName>
      <ability>L2_HalfPunc</ability>
      <abilityName>全半角检查</abilityName>
      <candidateList>
        <item>，</item>
      </candidateList>
      <explain>文本全半角错误。</explain>
      <paraID> B0CB0E1</paraID>
      <start>19</start>
      <end>20</end>
      <status>modified</status>
      <modifiedWord>，</modifiedWord>
      <trackRevisions>false</trackRevisions>
    </reviewItem>
    <reviewItem>
      <errorID>820da758-d548-41da-94d8-14f9a487c6dd</errorID>
      <errorWord>,</errorWord>
      <group>L1_Format</group>
      <groupName>格式问题</groupName>
      <ability>L2_HalfPunc</ability>
      <abilityName>全半角检查</abilityName>
      <candidateList>
        <item>，</item>
      </candidateList>
      <explain>文本全半角错误。</explain>
      <paraID> B0CB0E1</paraID>
      <start>31</start>
      <end>32</end>
      <status>modified</status>
      <modifiedWord>，</modifiedWord>
      <trackRevisions>false</trackRevisions>
    </reviewItem>
    <reviewItem>
      <errorID>1955ab6d-3b85-483d-982c-5800692b3761</errorID>
      <errorWord>,</errorWord>
      <group>L1_Format</group>
      <groupName>格式问题</groupName>
      <ability>L2_HalfPunc</ability>
      <abilityName>全半角检查</abilityName>
      <candidateList>
        <item>，</item>
      </candidateList>
      <explain>文本全半角错误。</explain>
      <paraID> DE8CF9A</paraID>
      <start>10</start>
      <end>11</end>
      <status>modified</status>
      <modifiedWord>，</modifiedWord>
      <trackRevisions>false</trackRevisions>
    </reviewItem>
    <reviewItem>
      <errorID>1ecbc68b-64d9-43cb-aa4c-b8148bad3d68</errorID>
      <errorWord>,</errorWord>
      <group>L1_Format</group>
      <groupName>格式问题</groupName>
      <ability>L2_HalfPunc</ability>
      <abilityName>全半角检查</abilityName>
      <candidateList>
        <item>，</item>
      </candidateList>
      <explain>文本全半角错误。</explain>
      <paraID>538BABDD</paraID>
      <start>22</start>
      <end>23</end>
      <status>modified</status>
      <modifiedWord>，</modifiedWord>
      <trackRevisions>false</trackRevisions>
    </reviewItem>
    <reviewItem>
      <errorID>69a52fd3-6570-4ff4-80dd-10aa2fedd202</errorID>
      <errorWord>,</errorWord>
      <group>L1_Format</group>
      <groupName>格式问题</groupName>
      <ability>L2_HalfPunc</ability>
      <abilityName>全半角检查</abilityName>
      <candidateList>
        <item>，</item>
      </candidateList>
      <explain>文本全半角错误。</explain>
      <paraID>7997CB9E</paraID>
      <start>8</start>
      <end>9</end>
      <status>modified</status>
      <modifiedWord>，</modifiedWord>
      <trackRevisions>false</trackRevisions>
    </reviewItem>
    <reviewItem>
      <errorID>6bff5b11-188f-40ce-aa20-ad0c9b27badb</errorID>
      <errorWord>,</errorWord>
      <group>L1_Format</group>
      <groupName>格式问题</groupName>
      <ability>L2_HalfPunc</ability>
      <abilityName>全半角检查</abilityName>
      <candidateList>
        <item>，</item>
      </candidateList>
      <explain>文本全半角错误。</explain>
      <paraID>7997CB9E</paraID>
      <start>12</start>
      <end>13</end>
      <status>modified</status>
      <modifiedWord>，</modifiedWord>
      <trackRevisions>false</trackRevisions>
    </reviewItem>
    <reviewItem>
      <errorID>90b8918a-a5c6-4ea3-ad03-242e606957a4</errorID>
      <errorWord>,</errorWord>
      <group>L1_Format</group>
      <groupName>格式问题</groupName>
      <ability>L2_HalfPunc</ability>
      <abilityName>全半角检查</abilityName>
      <candidateList>
        <item>，</item>
      </candidateList>
      <explain>文本全半角错误。</explain>
      <paraID>7997CB9E</paraID>
      <start>16</start>
      <end>17</end>
      <status>modified</status>
      <modifiedWord>，</modifiedWord>
      <trackRevisions>false</trackRevisions>
    </reviewItem>
    <reviewItem>
      <errorID>48212abe-cc6f-41ef-8fe7-4f250a7d6e47</errorID>
      <errorWord>,</errorWord>
      <group>L1_Format</group>
      <groupName>格式问题</groupName>
      <ability>L2_HalfPunc</ability>
      <abilityName>全半角检查</abilityName>
      <candidateList>
        <item>，</item>
      </candidateList>
      <explain>文本全半角错误。</explain>
      <paraID>7997CB9E</paraID>
      <start>21</start>
      <end>22</end>
      <status>modified</status>
      <modifiedWord>，</modifiedWord>
      <trackRevisions>false</trackRevisions>
    </reviewItem>
    <reviewItem>
      <errorID>262251cd-a9c5-422b-b64c-b49bf7fc77bf</errorID>
      <errorWord>,</errorWord>
      <group>L1_Format</group>
      <groupName>格式问题</groupName>
      <ability>L2_HalfPunc</ability>
      <abilityName>全半角检查</abilityName>
      <candidateList>
        <item>，</item>
      </candidateList>
      <explain>文本全半角错误。</explain>
      <paraID>2F780035</paraID>
      <start>10</start>
      <end>11</end>
      <status>modified</status>
      <modifiedWord>，</modifiedWord>
      <trackRevisions>false</trackRevisions>
    </reviewItem>
    <reviewItem>
      <errorID>a9871cbf-689d-408c-926a-f1166fad53a5</errorID>
      <errorWord>,</errorWord>
      <group>L1_Format</group>
      <groupName>格式问题</groupName>
      <ability>L2_HalfPunc</ability>
      <abilityName>全半角检查</abilityName>
      <candidateList>
        <item>，</item>
      </candidateList>
      <explain>文本全半角错误。</explain>
      <paraID>2F780035</paraID>
      <start>43</start>
      <end>44</end>
      <status>modified</status>
      <modifiedWord>，</modifiedWord>
      <trackRevisions>false</trackRevisions>
    </reviewItem>
    <reviewItem>
      <errorID>cb328566-5563-4b53-a83b-1b31382df678</errorID>
      <errorWord>,</errorWord>
      <group>L1_Format</group>
      <groupName>格式问题</groupName>
      <ability>L2_HalfPunc</ability>
      <abilityName>全半角检查</abilityName>
      <candidateList>
        <item>，</item>
      </candidateList>
      <explain>文本全半角错误。</explain>
      <paraID>2F780035</paraID>
      <start>51</start>
      <end>52</end>
      <status>modified</status>
      <modifiedWord>，</modifiedWord>
      <trackRevisions>false</trackRevisions>
    </reviewItem>
    <reviewItem>
      <errorID>14f40755-3511-4356-ba55-be18c60c7871</errorID>
      <errorWord>,</errorWord>
      <group>L1_Format</group>
      <groupName>格式问题</groupName>
      <ability>L2_HalfPunc</ability>
      <abilityName>全半角检查</abilityName>
      <candidateList>
        <item>，</item>
      </candidateList>
      <explain>文本全半角错误。</explain>
      <paraID>2F780035</paraID>
      <start>60</start>
      <end>61</end>
      <status>modified</status>
      <modifiedWord>，</modifiedWord>
      <trackRevisions>false</trackRevisions>
    </reviewItem>
    <reviewItem>
      <errorID>f1eb042f-b6b8-4119-a8ee-355c32770f36</errorID>
      <errorWord>"</errorWord>
      <group>L1_Format</group>
      <groupName>格式问题</groupName>
      <ability>L2_HalfPunc</ability>
      <abilityName>全半角检查</abilityName>
      <candidateList>
        <item>“</item>
      </candidateList>
      <explain>文本全半角错误。</explain>
      <paraID>2F780035</paraID>
      <start>64</start>
      <end>65</end>
      <status>modified</status>
      <modifiedWord>“</modifiedWord>
      <trackRevisions>false</trackRevisions>
    </reviewItem>
    <reviewItem>
      <errorID>f9253655-df08-4a81-a3f2-f2eb8cac4bfa</errorID>
      <errorWord>"</errorWord>
      <group>L1_Format</group>
      <groupName>格式问题</groupName>
      <ability>L2_HalfPunc</ability>
      <abilityName>全半角检查</abilityName>
      <candidateList>
        <item>”</item>
      </candidateList>
      <explain>文本全半角错误。</explain>
      <paraID>2F780035</paraID>
      <start>69</start>
      <end>70</end>
      <status>modified</status>
      <modifiedWord>”</modifiedWord>
      <trackRevisions>false</trackRevisions>
    </reviewItem>
    <reviewItem>
      <errorID>a620aea4-852a-48c2-8c61-a7efc56e0ede</errorID>
      <errorWord>,</errorWord>
      <group>L1_Format</group>
      <groupName>格式问题</groupName>
      <ability>L2_HalfPunc</ability>
      <abilityName>全半角检查</abilityName>
      <candidateList>
        <item>，</item>
      </candidateList>
      <explain>文本全半角错误。</explain>
      <paraID>2F780035</paraID>
      <start>73</start>
      <end>74</end>
      <status>modified</status>
      <modifiedWord>，</modifiedWord>
      <trackRevisions>false</trackRevisions>
    </reviewItem>
    <reviewItem>
      <errorID>63b8ffec-991d-4036-82b6-bab253f92f62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43B54A99</paraID>
      <start>0</start>
      <end>2</end>
      <status>modified</status>
      <modifiedWord>1.</modifiedWord>
      <trackRevisions>false</trackRevisions>
    </reviewItem>
    <reviewItem>
      <errorID>4099e7c4-2a55-4fee-9b71-6b9585b2df77</errorID>
      <errorWord>&lt;</errorWord>
      <group>L1_Format</group>
      <groupName>格式问题</groupName>
      <ability>L2_HalfPunc</ability>
      <abilityName>全半角检查</abilityName>
      <candidateList>
        <item>〈</item>
      </candidateList>
      <explain>文本全半角错误。</explain>
      <paraID> 7E24C7E</paraID>
      <start>75</start>
      <end>76</end>
      <status>unmodified</status>
      <modifiedWord/>
      <trackRevisions>false</trackRevisions>
    </reviewItem>
    <reviewItem>
      <errorID>b26ce9d4-a90c-4c30-85d5-12087cd94734</errorID>
      <errorWord>&lt;</errorWord>
      <group>L1_Format</group>
      <groupName>格式问题</groupName>
      <ability>L2_HalfPunc</ability>
      <abilityName>全半角检查</abilityName>
      <candidateList>
        <item>〈</item>
      </candidateList>
      <explain>文本全半角错误。</explain>
      <paraID> 7E24C7E</paraID>
      <start>122</start>
      <end>123</end>
      <status>unmodified</status>
      <modifiedWord/>
      <trackRevisions>false</trackRevisions>
    </reviewItem>
    <reviewItem>
      <errorID>2878f3c9-612d-4555-81e8-300004b600fc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291B7572</paraID>
      <start>0</start>
      <end>2</end>
      <status>modified</status>
      <modifiedWord>2.</modifiedWord>
      <trackRevisions>false</trackRevisions>
    </reviewItem>
    <reviewItem>
      <errorID>b2d77d12-b730-4f8b-89f4-f6840c8d1972</errorID>
      <errorWord>。】</errorWord>
      <group>L1_Punc</group>
      <groupName>标点问题</groupName>
      <ability>L2_Punc</ability>
      <abilityName>标点符号检查</abilityName>
      <candidateList>
        <item>】</item>
      </candidateList>
      <explain/>
      <paraID>6602BCAC</paraID>
      <start>66</start>
      <end>67</end>
      <status>modified</status>
      <modifiedWord>】</modifiedWord>
      <trackRevisions>false</trackRevisions>
    </reviewItem>
    <reviewItem>
      <errorID>08f8947a-0f99-4e03-b98e-5ef051146fa6</errorID>
      <errorWord>、</errorWord>
      <group>L1_Punc</group>
      <groupName>标点问题</groupName>
      <ability>L2_Punc</ability>
      <abilityName>标点符号检查</abilityName>
      <candidateList>
        <item>.</item>
      </candidateList>
      <explain/>
      <paraID>34C1053B</paraID>
      <start>1</start>
      <end>2</end>
      <status>modified</status>
      <modifiedWord>.</modifiedWord>
      <trackRevisions>false</trackRevisions>
    </reviewItem>
    <reviewItem>
      <errorID>bfb510a5-6585-4de8-8820-996d36be06dc</errorID>
      <errorWord>、</errorWord>
      <group>L1_Punc</group>
      <groupName>标点问题</groupName>
      <ability>L2_Punc</ability>
      <abilityName>标点符号检查</abilityName>
      <candidateList>
        <item>.</item>
      </candidateList>
      <explain/>
      <paraID>686C3493</paraID>
      <start>1</start>
      <end>2</end>
      <status>modified</status>
      <modifiedWord>.</modifiedWord>
      <trackRevisions>false</trackRevisions>
    </reviewItem>
    <reviewItem>
      <errorID>3909a52e-9f08-4bfd-af31-08bbf5e588a8</errorID>
      <errorWord>商</errorWord>
      <group>L1_Word</group>
      <groupName>字词问题</groupName>
      <ability>L2_Typo</ability>
      <abilityName>字词错误</abilityName>
      <candidateList>
        <item>商最</item>
      </candidateList>
      <explain/>
      <paraID>7F34637F</paraID>
      <start>2</start>
      <end>3</end>
      <status>unmodified</status>
      <modifiedWord/>
      <trackRevisions>false</trackRevisions>
    </reviewItem>
    <reviewItem>
      <errorID>dfcc5eac-e73a-498c-9dc3-f9ac1f0476eb</errorID>
      <errorWord>审</errorWord>
      <group>L1_Word</group>
      <groupName>字词问题</groupName>
      <ability>L2_Typo</ability>
      <abilityName>字词错误</abilityName>
      <candidateList>
        <item>审计</item>
      </candidateList>
      <explain/>
      <paraID>7F34637F</paraID>
      <start>69</start>
      <end>70</end>
      <status>unmodified</status>
      <modifiedWord/>
      <trackRevisions>false</trackRevisions>
    </reviewItem>
    <reviewItem>
      <errorID>f534e59b-f72d-47ad-9550-353064b541d4</errorID>
      <errorWord>商</errorWord>
      <group>L1_Word</group>
      <groupName>字词问题</groupName>
      <ability>L2_Typo</ability>
      <abilityName>字词错误</abilityName>
      <candidateList>
        <item>商最</item>
      </candidateList>
      <explain/>
      <paraID>7DCB18A8</paraID>
      <start>2</start>
      <end>3</end>
      <status>unmodified</status>
      <modifiedWord/>
      <trackRevisions>false</trackRevisions>
    </reviewItem>
    <reviewItem>
      <errorID>6211b612-ffb2-4237-9c44-bf45257d5075</errorID>
      <errorWord>商</errorWord>
      <group>L1_Word</group>
      <groupName>字词问题</groupName>
      <ability>L2_Typo</ability>
      <abilityName>字词错误</abilityName>
      <candidateList>
        <item>商最</item>
      </candidateList>
      <explain/>
      <paraID>7A9861EE</paraID>
      <start>2</start>
      <end>3</end>
      <status>unmodified</status>
      <modifiedWord/>
      <trackRevisions>false</trackRevisions>
    </reviewItem>
    <reviewItem>
      <errorID>065a12f0-5aae-446a-b97a-c993518a21b1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F20A20B</paraID>
      <start>0</start>
      <end>2</end>
      <status>modified</status>
      <modifiedWord>1.</modifiedWord>
      <trackRevisions>false</trackRevisions>
    </reviewItem>
    <reviewItem>
      <errorID>9be9da18-721d-4380-8506-064f460dd5e9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2DFCD920</paraID>
      <start>0</start>
      <end>2</end>
      <status>modified</status>
      <modifiedWord>2.</modifiedWord>
      <trackRevisions>false</trackRevisions>
    </reviewItem>
    <reviewItem>
      <errorID>15d04b8b-429d-4ae4-a022-b7afa42d250c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63358AE4</paraID>
      <start>0</start>
      <end>2</end>
      <status>modified</status>
      <modifiedWord>3.</modifiedWord>
      <trackRevisions>false</trackRevisions>
    </reviewItem>
    <reviewItem>
      <errorID>29bd3900-19d8-4d79-aee5-18c405929c27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3F57B5AF</paraID>
      <start>0</start>
      <end>2</end>
      <status>modified</status>
      <modifiedWord>4.</modifiedWord>
      <trackRevisions>false</trackRevisions>
    </reviewItem>
    <reviewItem>
      <errorID>0ca6d1ca-257a-4801-b158-62936531f067</errorID>
      <errorWord>：；</errorWord>
      <group>L1_Punc</group>
      <groupName>标点问题</groupName>
      <ability>L2_Punc</ability>
      <abilityName>标点符号检查</abilityName>
      <candidateList>
        <item>：</item>
      </candidateList>
      <explain/>
      <paraID>665CEAC9</paraID>
      <start>7</start>
      <end>9</end>
      <status>unmodified</status>
      <modifiedWord/>
      <trackRevisions>false</trackRevisions>
    </reviewItem>
    <reviewItem>
      <errorID>484c9303-a16c-4b81-aaa5-2ae64aee711f</errorID>
      <errorWord>：；</errorWord>
      <group>L1_Punc</group>
      <groupName>标点问题</groupName>
      <ability>L2_Punc</ability>
      <abilityName>标点符号检查</abilityName>
      <candidateList>
        <item>：</item>
      </candidateList>
      <explain/>
      <paraID>665CEAC9</paraID>
      <start>11</start>
      <end>13</end>
      <status>unmodified</status>
      <modifiedWord/>
      <trackRevisions>false</trackRevisions>
    </reviewItem>
    <reviewItem>
      <errorID>760221e4-9356-46c1-acb5-58e7b8e388c9</errorID>
      <errorWord>：；</errorWord>
      <group>L1_Punc</group>
      <groupName>标点问题</groupName>
      <ability>L2_Punc</ability>
      <abilityName>标点符号检查</abilityName>
      <candidateList>
        <item>：</item>
      </candidateList>
      <explain/>
      <paraID>665CEAC9</paraID>
      <start>15</start>
      <end>17</end>
      <status>unmodified</status>
      <modifiedWord/>
      <trackRevisions>false</trackRevisions>
    </reviewItem>
    <reviewItem>
      <errorID>255517bd-a585-4d1d-bad5-7f4ff10f471c</errorID>
      <errorWord>：；</errorWord>
      <group>L1_Punc</group>
      <groupName>标点问题</groupName>
      <ability>L2_Punc</ability>
      <abilityName>标点符号检查</abilityName>
      <candidateList>
        <item>：</item>
      </candidateList>
      <explain/>
      <paraID>665CEAC9</paraID>
      <start>19</start>
      <end>21</end>
      <status>unmodified</status>
      <modifiedWord/>
      <trackRevisions>false</trackRevisions>
    </reviewItem>
    <reviewItem>
      <errorID>f3fbf484-6195-412e-a35b-f3782531a62a</errorID>
      <errorWord>：；</errorWord>
      <group>L1_Punc</group>
      <groupName>标点问题</groupName>
      <ability>L2_Punc</ability>
      <abilityName>标点符号检查</abilityName>
      <candidateList>
        <item>：</item>
      </candidateList>
      <explain/>
      <paraID>1EF8F9E7</paraID>
      <start>10</start>
      <end>12</end>
      <status>unmodified</status>
      <modifiedWord/>
      <trackRevisions>false</trackRevisions>
    </reviewItem>
    <reviewItem>
      <errorID>a7339653-0aa3-40a7-9230-5fa9da57422a</errorID>
      <errorWord>：；</errorWord>
      <group>L1_Punc</group>
      <groupName>标点问题</groupName>
      <ability>L2_Punc</ability>
      <abilityName>标点符号检查</abilityName>
      <candidateList>
        <item>：</item>
      </candidateList>
      <explain/>
      <paraID>1EF8F9E7</paraID>
      <start>16</start>
      <end>18</end>
      <status>unmodified</status>
      <modifiedWord/>
      <trackRevisions>false</trackRevisions>
    </reviewItem>
    <reviewItem>
      <errorID>29237ef2-f2a3-403c-b59a-b98649b3f3f2</errorID>
      <errorWord>江苏信</errorWord>
      <group>L1_Word</group>
      <groupName>字词问题</groupName>
      <ability>L2_Typo</ability>
      <abilityName>字词错误</abilityName>
      <candidateList>
        <item>江苏</item>
      </candidateList>
      <explain/>
      <paraID>7E91B8B0</paraID>
      <start>6</start>
      <end>9</end>
      <status>unmodified</status>
      <modifiedWord/>
      <trackRevisions>false</trackRevisions>
    </reviewItem>
    <reviewItem>
      <errorID>01bdfe18-74c6-433a-8ee3-6071ea637731</errorID>
      <errorWord>：；</errorWord>
      <group>L1_Punc</group>
      <groupName>标点问题</groupName>
      <ability>L2_Punc</ability>
      <abilityName>标点符号检查</abilityName>
      <candidateList>
        <item>：</item>
      </candidateList>
      <explain/>
      <paraID>708A20D3</paraID>
      <start>7</start>
      <end>9</end>
      <status>unmodified</status>
      <modifiedWord/>
      <trackRevisions>false</trackRevisions>
    </reviewItem>
    <reviewItem>
      <errorID>a8338526-995f-4789-b5ca-d01581d0bb4a</errorID>
      <errorWord>涉及到</errorWord>
      <group>L1_Word</group>
      <groupName>字词问题</groupName>
      <ability>L2_Typo</ability>
      <abilityName>字词错误</abilityName>
      <candidateList>
        <item>涉及</item>
      </candidateList>
      <explain>〈动〉牵涉到；关联到：案子～好几个人｜这个问题～面很广。</explain>
      <paraID>6A9C2A3F</paraID>
      <start>8</start>
      <end>11</end>
      <status>unmodified</status>
      <modifiedWord/>
      <trackRevisions>false</trackRevisions>
    </reviewItem>
    <reviewItem>
      <errorID>6e8b4b95-51b3-4817-9e2b-5c2e46a022d4</errorID>
      <errorWord>商</errorWord>
      <group>L1_Word</group>
      <groupName>字词问题</groupName>
      <ability>L2_Typo</ability>
      <abilityName>字词错误</abilityName>
      <candidateList>
        <item>商最</item>
      </candidateList>
      <explain/>
      <paraID>5D8DDA47</paraID>
      <start>11</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c8c37-ed5d-4956-abc4-3ebd6faa6fe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77</Pages>
  <Words>13901</Words>
  <Characters>15127</Characters>
  <TotalTime>32</TotalTime>
  <ScaleCrop>false</ScaleCrop>
  <LinksUpToDate>false</LinksUpToDate>
  <CharactersWithSpaces>15196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2021-04-20T09:26:00Z</dcterms:created>
  <dc:creator>ly</dc:creator>
  <cp:lastModifiedBy>LoLo</cp:lastModifiedBy>
  <dcterms:modified xsi:type="dcterms:W3CDTF">2025-12-08T06:34:33Z</dcterms:modified>
  <dc:title>竞争性谈判采购文件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eyJoZGlkIjoiZTA2N2U4N2Y3MWZhMjRiODNiZDUwMzU2ZGZjYmQ4MDUiLCJ1c2VySWQiOiIyMzU0ODYyOTQifQ==</vt:lpwstr>
  </property>
  <property fmtid="{D5CDD505-2E9C-101B-9397-08002B2CF9AE}" pid="3" name="KSOProductBuildVer">
    <vt:lpwstr>2052-12.1.0.24034</vt:lpwstr>
  </property>
  <property fmtid="{D5CDD505-2E9C-101B-9397-08002B2CF9AE}" pid="4" name="ICV">
    <vt:lpwstr>31F561A38FFC424A8C03D25204534D92_13</vt:lpwstr>
  </property>
</Properties>
</file>